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419/2010 vom 13. Oktober 2010</w:t>
      </w:r>
    </w:p>
    <w:p>
      <w:r>
        <w:t>Bundesgericht, 2010-10-13, FR</w:t>
      </w:r>
    </w:p>
    <w:p>
      <w:r>
        <w:rPr>
          <w:b/>
        </w:rPr>
        <w:t xml:space="preserve">Quelle: </w:t>
      </w:r>
      <w:r>
        <w:t>https://mcp.opencaselaw.ch/entscheid/bger_2C_419_2010</w:t>
      </w:r>
    </w:p>
    <w:p>
      <w:r>
        <w:t>FR: TF 2C 419/2010 du 13 octobre 2010</w:t>
      </w:r>
    </w:p>
    <w:p>
      <w:r>
        <w:t>IT: TF 2C 419/2010 del 13 ottobre 2010</w:t>
      </w:r>
    </w:p>
    <w:p>
      <w:pPr>
        <w:pStyle w:val="Heading2"/>
      </w:pPr>
      <w:r>
        <w:t>Regeste</w:t>
      </w:r>
    </w:p>
    <w:p>
      <w:r>
        <w:t>Impôts cantonaux et communaux et impôt fédéral direct 2003, 2004, 2005, 2006 | Finances publiques &amp; droit fiscal</w:t>
      </w:r>
    </w:p>
    <w:p>
      <w:pPr>
        <w:pStyle w:val="Heading2"/>
      </w:pPr>
      <w:r>
        <w:t>Erwägungen</w:t>
      </w:r>
    </w:p>
    <w:p>
      <w:r>
        <w:rPr>
          <w:b/>
        </w:rPr>
        <w:t>E. 1</w:t>
      </w:r>
    </w:p>
    <w:p>
      <w:r>
        <w:t>L'arrêt attaqué constitue une décision finale rendue dans une cause de droit public par une autorité supérieure de dernière instance cantonale qui concerne à la fois l'impôt fédéral direct et l'impôt cantonal harmonisé, ce qui est admissible du moment que la notion et les conditions pour procéder à une taxation d'office sont identiques pour les deux catégories d'impôts (arrêt 2A.113/2005 du 16 septembre 2005 in StE 2005 B 96.22 n° 3, consid. 3 non publié aux ATF 131 II 548 ). Par conséquent, déposé en temps utile par le destinataire de l'arrêt attaqué, qui a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comme en l'espèce (cf. mémoire de recours, p. 12), que le recourant s'en prend aux deux catégories d'impôts (cf. ATF 135 II 260 ss). I. Impôt fédéral direct</w:t>
      </w:r>
    </w:p>
    <w:p>
      <w:r>
        <w:rPr>
          <w:b/>
        </w:rPr>
        <w:t>E. 2.1</w:t>
      </w:r>
    </w:p>
    <w:p>
      <w:r>
        <w:t>D'après l' art. 130 al. 1 et 2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Selon l' art. 132 al. 3 LIFD en outre, le contribuable qui a été taxé d'office peut déposer une réclamation contre cette taxation uniquement pour le motif qu'elle est manifestement inexacte. La réclamation doit être motivée et indiquer, le cas échéant, les moyens de preuve.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(arrêts 2A.657/2005 du 9 juin 2006 in RF 62/2007, p. 44, consid. 2; 2A.442/2001 du 19 juin 2002, consid. 2.2).</w:t>
      </w:r>
    </w:p>
    <w:p>
      <w:r>
        <w:rPr>
          <w:b/>
        </w:rPr>
        <w:t>E. 2.2</w:t>
      </w:r>
    </w:p>
    <w:p>
      <w:r>
        <w:t>En l'espèce, l'autorité précédente a tenu pour établi le fait, à l'instar de la Commission d'impôt de district, que la comptabilité du recourant n'était pas probante, notamment parce que le livre de caisse n'avait pas été tenu en bonne et due forme, parce que les dépenses et les recettes au comptant avaient été relevées séparément, parce que les marges brutes sur marchandises étaient hors normes et parce que les achats avaient été corrigés en ressortant de la comptabilité de 2005 et 2006 des frais de représentation de 12'000 fr et une part privée de 3'000 fr. représentant environ 1/3 des achats et virés forfaitairement à un poste de frais généraux et au compte privé. Elle a considéré que les conditions pour procéder à une taxation d'office étaient réunies.</w:t>
      </w:r>
    </w:p>
    <w:p>
      <w:r>
        <w:rPr>
          <w:b/>
        </w:rPr>
        <w:t>E. 3.1</w:t>
      </w:r>
    </w:p>
    <w:p>
      <w:r>
        <w:t>Sont imposables tous les revenus provenant de l'exploitation d'une entreprise commerciale, industrielle, artisanale, agricole ou sylvicole, de l'exercice d'une profession libérale ou de toute autre activité lucrative indépendante ( art. 18 al. 1 LIFD ). L' art. 58 LIFD s'applique par analogie aux contribuables qui tiennent une comptabilité en bonne et due forme ( art. 18 al. 3 LIFD ). Par conséquent, le revenu imposable de l'indépendant astreint à tenir une comptabilité ( art. 934 CO ) résulte du solde du compte de résultats, conformément au principe de l'autorité du bilan commercial institué par l' art. 58 LIFD . Selon ce principe,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 art. 58 LIFD ; ATF 136 II 88 consid. 3.1 p. 92; 119 Ib 111 consid. 2c p. 114 s.).</w:t>
      </w:r>
    </w:p>
    <w:p>
      <w:r>
        <w:rPr>
          <w:b/>
        </w:rPr>
        <w:t>E. 3.2</w:t>
      </w:r>
    </w:p>
    <w:p>
      <w:r>
        <w:t>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 ATF 106 Ib 311 consid. 3b p. 313 ss). Dans un arrêt du 19 septembre 1980, le Tribunal fédéral a exprimé des "réserves" sur la possibilité de contester la fiabilité de la comptabilité tenue dans les formes d'un non-commerçant en s'appuyant exclusivement sur les coefficients expérimentaux ( ATF 106 Ib 311 consid. 3c et 3d p. 315 ss), comme le soutenait la jurisprudence antérieure (cf. arrêt du 10 juin 1951 in Archives 20, p. 141; Archives 30, p. 227). Il est douteux que les "réserves" formulées par le Tribunal fédéral en 1980 aient pour effet d'empêcher les autorités fiscales de vérifier la fiabilité d'une comptabilité commerciale tenue dans les formes aux moyens des coefficients expérimentaux. En effet, l'arrêt de 1980 n'infirme pas vraiment la jurisprudence résultant de l'arrêt de 1951, puisque les deux soumettent la possibilité de s'écarter d'une comptabilité tenue en bonne et due forme à la condition qu'il existe une divergence "manifeste". Sous cet angle, l'arrêt du 19 septembre 1980 fait tout au plus figure de précision de jurisprudence en exposant ce qu'il faut entendre par divergence "manifeste": Ainsi, selon ce dernier arrêt, en pratique, l'autorité fiscale ne peut retenir que les divergences, à la fois manifestes et importantes, entre les résultats comptabilisés et ceux que l'on obtient par le calcul en tenant compte de ces coefficients expérimentaux, soit lorsque les résultats comptabilisés se situent en dehors des limites - supérieure et inférieure - de la dispersion que l'on appelle le "quartile central" ( ATF 106 Ib 311 consid. 3c et 3d p. 315 ss et les références citées; voir sur ces questions: Tony Waibel, Die Ermessenseinschätzung bei Selbständig-erwerbenden, Thèse St Gall 1983, p. 89 ss, 111 ss et 118 ss). Il convient à cet égard de bien distinguer la fonction des coefficients expérimentaux qui permettent de vérifier la validité matérielle d'une comptabilité commerciale tenue en bonne et due forme de celle, prévue par l' art. 130 al. 2 LIFD , qui permet d'arrêter un bénéfice imposable lorsque la comptabilité n'a pas de valeur probante. Dans le premier cas, la marge commerciale considérée ne s'écarte de manière manifeste des données d'expérience que si elle se situe en dehors des limites de la dispersion, démonstration qui incombe à l'autorité fiscale, tandis que, dans le deuxième cas, le coefficient expérimental ne devra être écarté que s'il est manifestement inexact, ce qu'il incombe au contribuable de démontrer. En résumé, aujourd'hui comme hier, la valeur probante de la comptabilité tenue en bonne et due forme d'un contribuable indépendant ou d'une personne morale doit être niée lorsqu'il y a une divergence manifeste et importante entre les résultats comptables et ceux qui, selon l'expérience, sont obtenus dans la branche de la profession en question, sans que des circonstances spéciales n'expliquent ces différences (cf. arrêt 2A.52/1992 du 15 décembre 1992, consid. 3c; Richner/Frei/Kaufmann/Meuter, Handkommentar zum DBG; 2e éd., Zurich 2009, n° 54 ad art. 123 LIFD et les références citées; Martin Zweifel, Bundesgesetz über die direkte Bundessteuer (DBG), Kommentar zum schweizerische Steuerrecht, vol. I/2b, 2e éd., Zurich 2008, n° 18 ad art. 115 LIFD ; contra Tony Waibel, op. cit., p. 125).</w:t>
      </w:r>
    </w:p>
    <w:p>
      <w:r>
        <w:rPr>
          <w:b/>
        </w:rPr>
        <w:t>E. 4.1</w:t>
      </w:r>
    </w:p>
    <w:p>
      <w:r>
        <w:t>Selon le rapport d'expertise du 31 octobre 2007, la comptabilité du café-restaurant exploité par le recourant n'est pas probante, le livre de caisse n'ayant en particulier pas été tenu en bonne et due forme. Certes, le rapport d'expertise n'est pas exempt d'imprécision sur ce point: ainsi l'on ignore si le livre de caisse n'est pas tenu en bonne et due forme parce que "les dépenses au comptant et les recettes ont été relevées séparément" ou si ce dernier reproche s'ajoute à la constatation du caractère incomplet du livre de caisse pour d'autres motifs que l'expertise aurait omis de préciser. Il n'est pas nécessaire de trancher ce dernier point. En effet, l'unique extrait de compte "Grand livre" déposé par le recourant afin de démontrer que son "livre de caisse" est conforme aux exigences du code des obligations ne concerne qu'un mois de l'exercice commercial 2006 et non pas les quatre ans examiné par le rapport d'expertise. Un tel moyen de preuve est insuffisant à établir l'exactitude du livre de caisse durant les exercices comptables des années 2003 à 2006. Le recourant ayant échoué dans la démonstration que son livre de caisse est tenu en bonne et due forme, l'ensemble de la comptabilité du café-restaurant doit être considérée comme non probante, d'autant qu'il s'agit d'une activité commerciale dans laquelle les flux d'argent liquide revêtent une importance considérable. Sous cet angle, il se justifie déjà de procéder à une estimation d'office des pertes litigieuses.</w:t>
      </w:r>
    </w:p>
    <w:p>
      <w:r>
        <w:rPr>
          <w:b/>
        </w:rPr>
        <w:t>E. 4.2</w:t>
      </w:r>
    </w:p>
    <w:p>
      <w:r>
        <w:t>Il n'est par conséquent pas nécessaire d'examiner les marges brutes sur marchandises. Force est d'ailleurs de remarquer sous cet angle qu'un tel examen n'est en l'espèce pas possible du moment que ni le rapport d'expertise ni l'arrêt attaqué n'indiquent le quartile central auquel la jurisprudence fait référence afin de tenir compte de la dispersion des résultats pris en compte dans l'établissement de la marge brute.</w:t>
      </w:r>
    </w:p>
    <w:p>
      <w:r>
        <w:rPr>
          <w:b/>
        </w:rPr>
        <w:t>E. 4.3</w:t>
      </w:r>
    </w:p>
    <w:p>
      <w:r>
        <w:t>En jugeant que la comptabilité du recourant relative au café-restaurant pour les exercices commerciaux 2003 à 2006 n'avait pas de valeur probante, l'autorité précédente n'a pas violé le droit fédéral. C'est par conséquent à bon droit que l'autorité précédente a jugé que les conditions pour effectuer une estimation d'office du bénéfice (respectivement des pertes) étaient remplies.</w:t>
      </w:r>
    </w:p>
    <w:p>
      <w:r>
        <w:rPr>
          <w:b/>
        </w:rPr>
        <w:t>E. 4.4</w:t>
      </w:r>
    </w:p>
    <w:p>
      <w:r>
        <w:t>Le recourant n'ayant pas démontré que le coefficient de 64% était manifestement inexact ( art. 132 al. 3 LIFD ), l'autorité précédente pouvait sans violer l' art. 130 al. 2 LIFD l'utiliser pour déterminer le revenu imposable des périodes fiscales 2003 à 2006. En tant qu'il est dirigé contre l'impôt fédéral direct, le présent recours est mal fondé et doit être rejeté. II. Impôt cantonal et communal</w:t>
      </w:r>
    </w:p>
    <w:p>
      <w:r>
        <w:rPr>
          <w:b/>
        </w:rPr>
        <w:t>E. 5</w:t>
      </w:r>
    </w:p>
    <w:p>
      <w:r>
        <w:t>Les art. 7 et 8 LHID déclarent imposable le produit de l'activité lucrative indépendante. Bien que la loi sur l'harmonisation fiscale ne le précise pas expressément, le revenu imposable du contribuable qui exerce une activité lucrative indépendante résulte, comme en matière d'impôt fédéral direct, du compte de résultats de la comptabilité tenue conformément aux règles de la comptabilité commerciale figurant aux art. 957 à 964 CO. Le principe de l'autorité du bilan commercial trouve aussi application en droit cantonal harmonisé (Markus Reich, Bundesgesetz über die Harmonisierung der direkten Steuern der Kantone und Gemeinden, Kommentar zum schweizerischen Steuerrecht, vol. I/1, 2e éd., Bâle 2002, n° 21 ss ad art. 8 LHID ). L'art. 4 de la loi fiscale valaisanne du 10 mars 1976 (LF/VS; RSVS 642.1) a sur ce point une teneur conforme la loi sur l'harmonisation fiscale. Enfin, l' art. 46 al. 1 et 3 LHID a un contenu similaire à celui de l' art. 130 al. 1 et 2 LIFD , dont les dispositions ont été correctement transposées en droit cantonal (art. 137 LF/VS). Il s'ensuit que les considérations développées ci-dessus relatives au défaut de valeur probante de la comptabilité du recourant et à l'établissement de la taxation d'office s'appliquent aux impôts cantonal et communal. Par conséquent, le recours doit également être rejeté en ce qui concerne les impôts cantonal et communal.</w:t>
      </w:r>
    </w:p>
    <w:p>
      <w:r>
        <w:rPr>
          <w:b/>
        </w:rPr>
        <w:t>E. 6</w:t>
      </w:r>
    </w:p>
    <w:p>
      <w:r>
        <w:t>Les considérants qui précèdent conduisent au rejet du recours.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