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2C_419/2008 vom 30. März 2009</w:t>
      </w:r>
    </w:p>
    <w:p>
      <w:r>
        <w:t>Bundesgericht, 2009-03-30, DE</w:t>
      </w:r>
    </w:p>
    <w:p>
      <w:r>
        <w:rPr>
          <w:b/>
        </w:rPr>
        <w:t xml:space="preserve">Quelle: </w:t>
      </w:r>
      <w:r>
        <w:t>https://mcp.opencaselaw.ch/entscheid/bger_2C_419_2008</w:t>
      </w:r>
    </w:p>
    <w:p>
      <w:r>
        <w:t>FR: TF 2C_419/2008 du 30 mars 2009</w:t>
      </w:r>
    </w:p>
    <w:p>
      <w:r>
        <w:t>IT: TF 2C_419/2008 del 30 marzo 2009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t>Die Beschwerdeführerin hat einen (potentiellen) Rechtsanspruch auf Leistungen der Gebäudeversicherung (vgl. § 26 ff. des kantonalen Gebäudeversicherungsgesetzes vom 29. Juni 1976 [GVG]). Sie hat am vorinstanzlichen Verfahren teilgenommen, ist durch den angefochtenen Entscheid besonders berührt und besitzt ein schutzwürdiges Interesse an dessen Aufhebung oder Änderung. Sie ist damit zur Beschwerde legitimiert ( Art. 89 Abs. 1 BGG ).</w:t>
      </w:r>
    </w:p>
    <w:p>
      <w:r>
        <w:rPr>
          <w:b/>
        </w:rPr>
        <w:t>E. 1.2</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w:t>
      </w:r>
    </w:p>
    <w:p>
      <w:r>
        <w:rPr>
          <w:b/>
        </w:rPr>
        <w:t>E. 1.3</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Die Beschwerdeführerin rügt zunächst eine Verletzung ihres Anspruchs auf rechtliches Gehör ( Art. 29 Abs. 2 BV ), weil das Verwaltungsgericht trotz entsprechenden Beweisanträgen auf die Einvernahme des Zeugen C.________ sowie auf die Einholung einer (weiteren) Expertise verzichtet habe.</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Dass sich aus dem kantonalen Recht ein weitergehender Gehörsanspruch ergeben würde, wird nicht behauptet und ist auch nicht ersichtlich.</w:t>
      </w:r>
    </w:p>
    <w:p>
      <w:r>
        <w:t>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2.3</w:t>
      </w:r>
    </w:p>
    <w:p>
      <w:r>
        <w:t>Vorliegend unstreitig sind die Schäden im Untergeschoss des Gebäudes, die durch das Eindringen von Oberflächenwasser durch das Keller- und Garagenfenster entstanden sind; diese hat die Gebäudeversicherung im Umfang von Fr. 7'458.-- denn auch bereits übernommen (vorne lit. C). Es geht hier einzig um die Risse in den Wänden, welche die Sanierung des Gebäudes notwendig machen. Sowohl die Einvernahme des Bauingenieurs C.________ - der seine Auffassung bereits in seinem Parteigutachten vom 22. November 2005 (vgl. vorne lit. C) sowie in seiner schriftlichen Stellungnahme vom 21. April 2006 zu dem von der Gebäudeversicherung eingeholten Gutachten der "D.________ AG Bauingenieure" (vom 31. Januar 2006) schriftlich dargelegt hatte - wie auch die verlangte weitere Expertise hätten nach Auffassung der Beschwerdeführerin dazu dienen sollen, die genaue Ursache dieser Risse abzuklären. Die Parteien und auch die bisher beigezogenen Gutachter sind sich einig, dass diesbezüglich ein zeitlicher und kausaler Zusammenhang mit dem Hochwasserereignis vom 19. - 22. August 2005 besteht und dass die Risse durch Setzungen entstanden sind (vgl. die genannten Gutachten). Streitig ist die Ursache dieser Setzungen. Zur Abklärung derselben wären, wie schon im Bericht der Firma B.________ AG vom 23. September 2005 (vorne lit. A, am Ende) ausgeführt wurde, Untersuchungen des Untergrundes ("Baugrundsondierungen") erforderlich. Zum gleichen Ergebnis kam der von der Beschwerdeführerin beigezogene Gutachter, Bauingenieur C.________, welcher seinerseits festhielt, gesicherte Erkenntnisse könnten vorliegend nur durch Spezialisten gestützt auf Bodenuntersuchungen gewonnen werden (Gutachten vom 22. November 2005, S. 5). Zu ähnlichen Erkenntnissen gelangte der von der Gebäudeversicherung eingeholte Bericht der D.________ AG. Darin vermutet der Gutachter E.________ als wahrscheinliche Setzungs- und Schadensursache die Wirkung eines rasch schwankenden Grundwasserspiegels und allenfalls die Wirkung von Grundwasserströmungen in Folge dieser Schwankungen, wobei aber die konkreten Vorgänge ohne aufwendige Sondierungen und Versuche schwerlich zu erfassen und zu beweisen seien. Ohne Kenntnis der konkreten Schadensursachen und -mechanismen sei es auch nicht möglich, das Risiko neuer ähnlicher Schadensereignisse abzuschätzen und vernünftige, wirtschaftlich vertretbare Präventionsmassnahmen (wie etwa Unterfangungen, Mikropfahlunterfangungen, Injektionen usw.) vorzuschlagen (Bericht D.________ AG vom 31. Januar 2006, S. 6). Der Nachweis einer anderen Schadensursache als das Grundwasser in Zusammenwirkung mit der besonderen Baugrund- und Fundationssituation dürfte "schwierig bis unmöglich sein" (Begleitbericht vom 31. Januar 2006 des Gutachters E.________ zum Bericht der D.________ AG). Der von der Beschwerdeführerin beigezogene Gutachter C.________ stimmte in seiner schriftlichen Stellungnahme vom 21. April 2006 zum Gutachten der D.________ AG der Aussage zu, dass es kaum möglich sein werde, die Schadensursache schlüssig zu beweisen; umfangreiche Untersuchungen und aufwendige Sondierungen erschienen wenig sinnvoll. Hingegen beharrte C.________ auf der Auffassung, dass zwischen dem Hochwasser und den aufgetretenen Schäden ein offenkundiger Kausalzusammenhang bestehe. In Beantwortung dieser Ausführungen äusserte sich der Gutachter E.________ am 7. Juli 2006 nochmals schriftlich zu den möglichen Auswirkungen, welche Schwankungen des Grundwasserspiegels auf das betreffende Gebäude gehabt haben könnten; über die effektiven Ursachen der Setzungen könne ohne umfangreiche Bodenuntersuchungen aber nur spekuliert werden (genanntes Schreiben, S. 2).</w:t>
      </w:r>
    </w:p>
    <w:p>
      <w:r>
        <w:rPr>
          <w:b/>
        </w:rPr>
        <w:t>E. 2.4</w:t>
      </w:r>
    </w:p>
    <w:p>
      <w:r>
        <w:t>Bei dieser Sachlage durfte das Verwaltungsgericht in antizipierter Beweiswürdigung ohne Willkür davon ausgehen, dass gesicherte zusätzliche Erkenntnisse von einer weiteren Expertise ohne aufwendige und kostspielige Untersuchungen des Baugrundes nicht zu erwarten wären, und es durfte mangels eines expliziten dahingehenden Beweisantrages der Beschwerdeführerin - die zu beweisen hatte, dass der geltend gemachte Schaden durch ein Elementarereignis im Sinne von § 24 GVG entstanden war (vgl. ZBl 95 [1994] S. 189. E. 2) - auf solche weiterführenden Untersuchungen wie auch auf die neuerliche Einvernahme des Experten C.________ verzichten. Wohl wurde in der Beschwerdeschrift vom 12. April 2007 an das Verwaltungsgericht zum Beweis für die These, wonach ein Zusammenhang zwischen dem Hochwasser und den Gebäudeschäden bestehe und die Setzungsschäden weder auf Grundwassereinwirkung noch auf schlechten Baugrund zurückzuführen seien, neben der Einvernahme des genannten Experten wiederholt auch eine "Expertise" als Beweismittel angerufen. In den gestellten Rechtsbegehren beschränkte sich die Beschwerdeführerin aber darauf, eine gerichtliche Expertise zur Feststellung der "Höhe des Schadens" zu beantragen. Das Verwaltungsgericht durfte unter diesen Umständen zumindest ohne Willkür davon ausgehen, kostspielige weitere Untersuchungen zur Ermittlung der genauen Schadensursache seien seitens der Rechtsmittelklägerin nicht gewünscht. Der Verzicht auf solche weitere Untersuchungen lag umso näher, als der Nachweis einer Schadensverursachung durch Oberflächenwasser, wie er nach der Rechtsauffassung des Verwaltungsgerichts für die Begründung einer Leistungspflicht der Gebäudeversicherung erforderlich wäre, nach den vorliegenden gutachterlichen Stellungnahmen ohnehin als schwierig, wenn nicht sogar als aussichtslos angesehen werden durfte (angefochtenes Urteil, E. 4b S. 6).</w:t>
      </w:r>
    </w:p>
    <w:p>
      <w:r>
        <w:t>Die Rüge der Verletzung des Anspruchs auf rechtliches Gehör ist nach dem Gesagten unbegründet.</w:t>
      </w:r>
    </w:p>
    <w:p>
      <w:r>
        <w:rPr>
          <w:b/>
        </w:rPr>
        <w:t>E. 3.1</w:t>
      </w:r>
    </w:p>
    <w:p>
      <w:r>
        <w:t>Gemäss § 24 Abs. 1 lit. c GVG versichert die öffentlich-rechtliche Gebäudeversicherung des Kantons Luzern Gebäude unter anderem gegen Schäden, die durch Hochwasser, Überschwemmung oder Sturmflut entstanden sind. Nach § 24 Abs. 2 GVG nicht zu vergüten sind jedoch Schäden, die nicht durch ein in § 24 Abs. 1 GVG genanntes Elementarereignis verursacht worden sind (lit. a), die nicht auf eine Natureinwirkung von aussergewöhnlicher Heftigkeit zurückzuführen sind (lit. b), die durch fortgesetztes Einwirken entstanden sind (lit. c) oder die voraussehbar waren und rechtzeitig durch zumutbare Massnahmen hätten verhindert werden können (lit. d). Nach § 23 der Gebäudeversicherungsverordnung vom 10. September 1976 (GVV) gelten Schäden, die im Innern des Gebäudes durch Rückstau aus Abwasserkanalisationen oder durch Grundwasser entstanden sind, nicht als Hochwasser- oder Überschwemmungsschäden.</w:t>
      </w:r>
    </w:p>
    <w:p>
      <w:r>
        <w:rPr>
          <w:b/>
        </w:rPr>
        <w:t>E. 3.2</w:t>
      </w:r>
    </w:p>
    <w:p>
      <w:r>
        <w:t>Das Bundesgericht hat diese letztere Regelung des luzernischen Verordnungsgebers in drei im Jahre 2007 beurteilten anderen Fällen als vertretbare, systemkonforme Auslegung der Vorgaben von § 24 GVG geschützt (Urteile 2C_212/2007, 2C_214/2007 und 2C_215/2007, alle vom 11. Dezember 2007). Das Verwaltungsgericht ging gestützt hierauf davon aus, die Leistungspflicht der Gebäudeversicherung werde grundsätzlich nur dann ausgelöst, wenn das Hochwasser oder die Überschwemmung als solche im Gebäude selber in Erscheinung trete, indem als Folge des Elementarereignisses ebenerdig Wasser einfliesse und das Gebäude schädige. Vorliegend bleibe die Schadenursache nach einhelliger Meinung der Experten letztlich ungewiss. Der Beschwerdeführerin sei es jedenfalls nicht gelungen, den ihr obliegenden, für die Leistungspflicht des Versicherers massgebenden Beweis zu erbringen, dass das Einfliessen von Oberflächenwasser zu den an ihrem Wohnhaus eingetretenen Setzungsschäden geführt habe und damit ein nach § 24 Abs. 1 lit. c GVG versicherter Schaden vorliege.</w:t>
      </w:r>
    </w:p>
    <w:p>
      <w:r>
        <w:rPr>
          <w:b/>
        </w:rPr>
        <w:t>E. 3.3</w:t>
      </w:r>
    </w:p>
    <w:p>
      <w:r>
        <w:t>Die Beschwerdeführerin erachtet demgegenüber die Leistungspflicht der Gebäudeversicherung für die am Gebäude festgestellten Schäden als gegeben, weil der zeitliche und kausale Zusammenhang mit dem Hochwasser vom August 2005 nicht in Abrede gestellt werden könne. Es sei auch ebenerdig Wasser aus dem Umgelände eingedrungen, was den Boden gesättigt und zu den Senkungen und Rissen am Gebäude geführt habe. Solche Schäden seien gemäss § 24 GVG versichert. Die Nichtanerkennung der vorliegend entstandenen Senkungen und Risse als Elementarschaden im Sinne von § 24 GVG sei unhaltbar und willkürlich.</w:t>
      </w:r>
    </w:p>
    <w:p>
      <w:r>
        <w:rPr>
          <w:b/>
        </w:rPr>
        <w:t>E. 3.4</w:t>
      </w:r>
    </w:p>
    <w:p>
      <w:r>
        <w:t>Soweit die Beschwerdeführerin den Eintritt von Oberflächenwasser als Ursache der Setzungsschäden geltend machen will, findet dieser Standpunkt in den vorliegenden Gutachten keine oder jedenfalls keine ausreichende Grundlage. Das Verwaltungsgericht durfte ohne Willkür davon ausgehen, dieser Beweis - der, wie ausgeführt (E. 2.4), vom Versicherten zu leisten ist -, sei nicht erbracht. Der blosse Hinweis auf den - an sich von keiner Seite bestrittenen - Kausalzusammenhang zwischen dem Hochwasser und den eingetretenen Schäden vermag den Vorwurf der Willkür ebenfalls nicht zu begründen. Die Beschwerdeführerin setzt sich mit der erwähnten Argumentation des Verwaltungsgerichts, wonach die blosse Kausalität für sich allein nicht genüge, sondern die Pflicht zur Versicherungsleistung noch von der Art des Schadens bzw. der Schadenseinwirkung abhänge (Ausschluss von durch Grundwasser entstandenen Schäden) nicht in der gebotenen Weise auseinander ( Art. 106 Abs. 2 BGG ). Sodann ist daran zu erinnern, dass die Gebäudeversicherung den unmittelbaren (oder "direkten") Schaden, also derjenige, der durch das Eindringen von Oberflächenwasser direkt von der Überschwemmung herrührt, entschädigt hat. Zwischen dem Hochwasserereignis und dem mittelbaren (oder "indirekten") Schaden (Risse im Gebäude) besteht zwar auch ein adäquater Kausalzusammenhang (vgl. zum Ganzen Heinz Rey, ausservertragliches Haftpflichtrecht, 4. Auflage 2008, Rz. 333 ff. S. 79 f., Franz Werro, in: Commentaire Romand, N. 14 zu Art. 41 OR ), doch beruhen diese Risse in erster Linie auf einer Setzung, deren Ursache nicht bewiesen ist bzw. gemäss den beigezogenen Experten nicht bewiesen werden kann. Da gemäss der Rechtsprechung nur Schäden, die direkt auf Oberflächenwasser zurückgehen, als versichert gelten (vorne E. 3.2) und vorliegend ein direkter Zusammenhang zwischen dem Oberflächenwasser und den Setzungsschäden nicht festgestellt werden konnte, erscheint es nicht willkürlich, die Leistungspflicht der Gebäudeversicherung für diese Schäden zu verneinen. Wohl mag sich fragen, ob die Heranziehung der Ausschlussklausel von § 23 GVV mit dem Wortlaut und Sinn von § 24 Abs. 1 lit. c GVG auch dann noch vereinbar ist, wenn mit einem Hochwasser verbundene extreme Schwankungen des Grundwasserspiegels die primäre Schadensursache bilden. Im vorliegenden Fall hat das betroffene Gebäude gemäss den Akten aber schon früher (in den Jahren 1989/90), ausserhalb eines Hochwasserereignisses, auf Grundwasserschwankungen durch Setzungen reagiert (vgl. Aktennotiz der B.________ AG vom 23. September 2005, S. 2, Gutachten D.________, S. 4 und 5), was darauf schliessen lässt, dass Mängel oder Besonderheiten des Baugrundes auch bei den heute verzeichneten Schäden eine erhebliche Rolle spielen. Wenn die Gebäudeversicherung die vorliegend eingetretenen Setzungsschäden nicht als versicherte Folge eines Elementarschadens behandeln will, erscheint dies unter den genannten Umständen nicht offensichtlich unhaltbar.</w:t>
      </w:r>
    </w:p>
    <w:p>
      <w:r>
        <w:rPr>
          <w:b/>
        </w:rPr>
        <w:t>E. 4</w:t>
      </w:r>
    </w:p>
    <w:p>
      <w:r>
        <w:t>Nach dem Gesagten ist die Beschwerde als unbegründet abzuweisen, soweit darauf eingetreten werden kann.</w:t>
      </w:r>
    </w:p>
    <w:p>
      <w:r>
        <w:t>Bei diesem Ausgang sind die Gerichtskosten der Beschwerdeführerin aufzuerlegen ( Art. 65 und 66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