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2C_416/2017 vom 18. Dezember 2017</w:t>
      </w:r>
    </w:p>
    <w:p>
      <w:r>
        <w:t>Bundesgericht, 2017-12-18, FR</w:t>
      </w:r>
    </w:p>
    <w:p>
      <w:r>
        <w:rPr>
          <w:b/>
        </w:rPr>
        <w:t xml:space="preserve">Quelle: </w:t>
      </w:r>
      <w:r>
        <w:t>https://mcp.opencaselaw.ch/entscheid/bger_2C_416_2017</w:t>
      </w:r>
    </w:p>
    <w:p>
      <w:r>
        <w:t>FR: TF 2C_416/2017 du 18 décembre 2017</w:t>
      </w:r>
    </w:p>
    <w:p>
      <w:r>
        <w:t>IT: TF 2C_416/2017 del 18 dicembre 2017</w:t>
      </w:r>
    </w:p>
    <w:p>
      <w:pPr>
        <w:pStyle w:val="Heading2"/>
      </w:pPr>
      <w:r>
        <w:t>Erwägungen</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Le droit au séjour des membres de la famille, quelle que soit leur nationalité ( art. 7 let . d ALCP) est réglé par l' art. 3 al. 1 Annexe I ALCP . En l'occurrence, l'intimée 1 et sa fille font partie de la famille d'un ressortissant espagnol; elles ont ainsi potentiellement droit à la délivrance d'une autorisation de séjour. Le recours échappe donc au motif d'irrecevabilité prévu à l' art. 83 let . c ch. 2 LTF (cf. ATF 139 I 330 consid. 1 p. 332; arrêt 2C_1061/2013 du 14 juillet 2015 consid. 1.2).</w:t>
      </w:r>
    </w:p>
    <w:p>
      <w:r>
        <w:rPr>
          <w:b/>
        </w:rPr>
        <w:t>E. 1.2</w:t>
      </w:r>
    </w:p>
    <w:p>
      <w:r>
        <w:t>Le Secrétariat d'Etat a par ailleurs qualité pour recourir devant le Tribunal fédéral ( art. 89 al. 2 let. a LTF et art. 14 al. 2 de l'ordonnance fédérale du 17 novembre 1999 sur l'organisation du Département fédéral de justice et police [Org DFJP; RS 172.213.1]), les conditions de l'art. 89 al. 1 let. a à c LTF ne lui sont pas applicables ( ATF 136 II 359 consid. 1.2 p. 362). Contrairement à ce qu'affirment les intimées, le recours n'est pas devenu sans objet du seul fait qu'elles ont un nouveau logement : il ne le serait devenu que dans la mesure où une nouvelle autorisation de séjour avait été délivrée en cours d'instance.</w:t>
      </w:r>
    </w:p>
    <w:p>
      <w:r>
        <w:t>Au surplus, déposé en temps utile compte tenu des féries (art. 46 al. 1 let. b et 100 al. 1 LTF) et dans les formes prescrites ( art. 42 LTF ), le présent recours, dirigé contre une décision rendue dans une cause de droit public ( art. 82 let. a LTF ) par un tribunal cantonal supérieur ( art. 86 al. 1 let . d et al. 2 LTF), qui confirme une décision de l'instance judiciaire intermédiaire renvoyant la cause à l'autorité de première instance sans marge de manoeuvre et qui doit par conséquent être assimilée à une décision finale ( art. 90 LTF ), est en principe recevable.</w:t>
      </w:r>
    </w:p>
    <w:p>
      <w:r>
        <w:rPr>
          <w:b/>
        </w:rPr>
        <w:t>E. 2</w:t>
      </w:r>
    </w:p>
    <w:p>
      <w:r>
        <w:t>Seule est litigieuse en l'espèce la réalisation de la condition du logement convenable ressortant de l' art. 3 Annexe I ALCP .</w:t>
      </w:r>
    </w:p>
    <w:p>
      <w:r>
        <w:rPr>
          <w:b/>
        </w:rPr>
        <w:t>E. 2.1</w:t>
      </w:r>
    </w:p>
    <w:p>
      <w:r>
        <w:t>L' art. 3 al. 1 annexe I ALCP prévoit que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Les droits octroyés par les dispositions de l'ALCP ne peuvent être limités que par des mesures justifiées par des raisons d'ordre public, de sécurité publique et de santé publique ( art. 5 al. 1 annexe I ALCP ).</w:t>
      </w:r>
    </w:p>
    <w:p>
      <w:r>
        <w:t>Le ch. 9.2.1 des directives et commentaires concernant l'introduction progressive de la libre circulation des personnes (Directives OLCP) prévoit l'application par analogie du ch. 6.1.4 des DIRECTIVES ET COMMENTAIRES - DOMAINE DES ÉTRANGERS (Directives LEtr), toutes deux rédigées et éditées par le Secrétariat d'Etat aux migrations selon lesquelles</w:t>
      </w:r>
    </w:p>
    <w:p>
      <w:r>
        <w:t>il faut que le logement suffise pour tous les membres de la famille. Une partie des autorités cantonales compétentes en matière d'étrangers se fonde sur le critère du nombre de pièces (nombre de personnes - 1 = taille minimale du logement). Bien que la LEtr n'exige expressément un «logement approprié» que pour le regroupement familial du conjoint et des enfants de titulaires d'une autorisation de séjour ou d'une autorisation de courte durée, cette clause s'applique indirectement aussi aux membres de la famille d'un citoyen suisse ou d'un titulaire d'une autorisation d'établissement étant donné que la famille doit vivre en ménage commun .</w:t>
      </w:r>
    </w:p>
    <w:p>
      <w:r>
        <w:t>La Cour de justice de l'Union européenne a rendu deux arrêts relatifs à la question du logement approprié (arrêt de la CJCE du 13 février 1985, C-267/83,</w:t>
      </w:r>
    </w:p>
    <w:p>
      <w:r>
        <w:t>Diatta contre Land de Berlin , Rec. 1985 p. 574; arrêt de la CJCE du 18 mai 1989, C-249/86,</w:t>
      </w:r>
    </w:p>
    <w:p>
      <w:r>
        <w:t>Commission des Communautés européennes contre République fédérale d'Allemagne , Rec. 1989 p. 1263). Dans le premier, elle a précisé que les membres de la famille ne doivent pas nécessairement habiter en permanence avec le travailleur pour être titulaire d'un droit de séjour (sur la portée actuelle de l'arrêt Diatta, cf. ATF 130 II 113 et 139 I 393) et, dans le deuxième, elle a décidé que la condition de disposer d'un logement considéré comme normal pour les travailleurs nationaux s'impose comme condition d'accueil mais ne justifie pas le refus de renouveler une autorisation de séjour d'un membre de la famille du travailleur si ce même logement ne peut plus, à la suite d'un événement nouveau, être considéré comme approprié. En effet, le regroupement familial vise à assurer que les travailleurs des autres Etats membres ne renoncent pas à la libre circulation pour des motifs familiaux (arrêt Diatta § 14 et 15; cf. ATF 130 II 113 consid. 7.1 p. 125). La Cour de justice ne s'est en revanche jamais exprimée sur l'existence d'un possible standard minimal relatif à la surface ou au nombre de pièces du logement eu égard au nombre de membres de la famille du travailleur.</w:t>
      </w:r>
    </w:p>
    <w:p>
      <w:r>
        <w:t>Dans un arrêt rendu en 2016, le Tribunal fédéral a laissé entendre que la réalisation de la condition du logement approprié était douteuse s'agissant d'un logement de trois pièces destiné à loger un couple, leurs deux filles mineures et le fils aîné du mari, âgé de 20 ans, né d'une précédente union (arrêt 2C_131/2016 du 10 novembre 2016 consid. 4.5).</w:t>
      </w:r>
    </w:p>
    <w:p>
      <w:r>
        <w:rPr>
          <w:b/>
        </w:rPr>
        <w:t>E. 2.2</w:t>
      </w:r>
    </w:p>
    <w:p>
      <w:r>
        <w:t>Il résulte du texte même de l' art. 3 al. 1 annexe I ALCP que la notion de "logement considéré comme normal pour les travailleurs nationaux salariés</w:t>
      </w:r>
    </w:p>
    <w:p>
      <w:r>
        <w:t>dans la région " ne peut pas, par définition, être tranchée au moyen d'une règle rigide, à l'instar de celle énoncée dans les Directives précitées du Secrétariat d'Etat aux migrations, valable pour tout le territoire suisse, mais bien région par région au moyen d'un examen global concret : s'agissant du nombre de pièces et de la surface du logement en cause, il y a lieu de tenir compte d'une part, du marché local du logement, et d'autre part, du nombre de personnes de la famille s'y installant, de la composition de la famille (couple, sexe, âge, infirmités ou besoins spécifiques, notamment des enfants en relation avec une éventuelle cohabitation mixte), afin de préserver le développement harmonieux, la personnalité et l'intimité de ses membres, ainsi que des conditions locales du marché du logement, des possibilités d'aide au logement et des moyens financiers exigibles. C'est aux instances cantonales, parce qu'elles connaissent bien les conditions locales du marché du logement et bénéficient donc de la proximité nécessaire à cet examen qu'il revient de constater que le logement occupé par les étrangers répond à ces critères. Dans l'application de la notion légale indéterminée de logement convenable, qui prend en compte des circonstances locales, elles disposent d'une certaine liberté d'appréciation. Du moment que les autorités précédentes tranchent sur la base d'une meilleure connaissance des circonstances particulières locales, le Tribunal fédéral n'examine qu'avec retenue leur décision (arrêt 2C_162/2014 du 13 juin 2014 consid. 4.6; ATF 119 Ib 254 consid. 2b p. 265). A cela s'ajoute que la détermination de ces circonstances relève du fait et lie donc le Tribunal fédéral ( art. 105 al. 1 LTF ), sous réserve d'arbitraire.</w:t>
      </w:r>
    </w:p>
    <w:p>
      <w:r>
        <w:rPr>
          <w:b/>
        </w:rPr>
        <w:t>E. 2.3</w:t>
      </w:r>
    </w:p>
    <w:p>
      <w:r>
        <w:t>En l'espèce, l'instance précédente a jugé que l'espace de vie offert par le studio à la famille en cause était suffisant, dès lors qu'il n'est pas rare dans le canton de Genève qu'une famille vive dans un espace restreint, en raison de la rareté des logements et du coût du loyer au m2. Cette constatation de fait n'apparaît pas insoutenable en l'espèce. Il n'y a par conséquent pas lieu de la remettre en cause d'autant moins qu'elle prend dûment en considération non seulement l'état du marché local du logement et le bas âge de l'enfant, mais également l'évolution inéluctable de la situation. A cet égard, il convient de souligner que la Cour de justice a à juste titre averti les parents que son appréciation était principalement motivée par le jeune âge de l'enfant et qu'il leur appartenait d'intensifier leurs recherches, afin de trouver un appartement plus grand, ce qui semble avoir porté ses fruits.</w:t>
      </w:r>
    </w:p>
    <w:p>
      <w:r>
        <w:rPr>
          <w:b/>
        </w:rPr>
        <w:t>E. 3</w:t>
      </w:r>
    </w:p>
    <w:p>
      <w:r>
        <w:t>Les considérants qui précèdent conduisent au rejet du recours. Succombant dans l'exercice de ses attributions officielles sans que son intérêt patrimonial ne soit en cause, le Secrétariat d'Etat aux migrations ne peut pas être condamné au paiement des frais de justice ( art. 66 al. 4 LTF ). Les intimées, qui obtiennent gain de cause avec l'assistance d'un représentant, ont droit à des dépens à charge du Secrétariat d'Etat aux migrations ( art. 68 al. 1 LTF ; arrêts 2C_648/2015 23 août 2016 consid. 4 et 2C_997/2015 du 30 juin 2016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