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416/2011 vom 28. Dezember 2011</w:t>
      </w:r>
    </w:p>
    <w:p>
      <w:r>
        <w:t>Bundesgericht, 2011-12-28, DE</w:t>
      </w:r>
    </w:p>
    <w:p>
      <w:r>
        <w:rPr>
          <w:b/>
        </w:rPr>
        <w:t xml:space="preserve">Quelle: </w:t>
      </w:r>
      <w:r>
        <w:t>https://mcp.opencaselaw.ch/entscheid/bger_2C_416_2011</w:t>
      </w:r>
    </w:p>
    <w:p>
      <w:r>
        <w:t>FR: TF 2C 416/2011 du 28 décembre 2011</w:t>
      </w:r>
    </w:p>
    <w:p>
      <w:r>
        <w:t>IT: TF 2C 416/2011 del 28 dicembre 2011</w:t>
      </w:r>
    </w:p>
    <w:p>
      <w:pPr>
        <w:pStyle w:val="Heading2"/>
      </w:pPr>
      <w:r>
        <w:t>Regeste</w:t>
      </w:r>
    </w:p>
    <w:p>
      <w:r>
        <w:t>Ausländerrecht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 Gegen Entscheide über den Widerruf oder die Feststellung des Erlöschens einer Niederlassungsbewilligung ist die Beschwerde in öffentlich-rechtlichen Angelegenheiten zulässig, weil grundsätzlich ein Anspruch auf das Fortbestehen dieser Bewilligung gegeben ist ( BGE 135 II 1 E. 1.2.1 S. 4). Der Beschwerdeführer ist zur Ergreifung dieses Rechtsmittels legitimiert ( Art. 89 BGG ).</w:t>
      </w:r>
    </w:p>
    <w:p>
      <w:r>
        <w:rPr>
          <w:b/>
        </w:rPr>
        <w:t>E. 1.2</w:t>
      </w:r>
    </w:p>
    <w:p>
      <w:r>
        <w:t>Das Bundesgericht wendet das Recht von Amtes wegen an ( Art. 106 Abs. 1 BGG ). Es legt seinem Urteil sodann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 Die Berücksichtigung der beim Bundesgericht eingereichten Beweismittel (neuere Arzt- und IV-Berichte) als so genannte echte Noven fällt daher ausser Betracht.</w:t>
      </w:r>
    </w:p>
    <w:p>
      <w:r>
        <w:rPr>
          <w:b/>
        </w:rPr>
        <w:t>E. 2</w:t>
      </w:r>
    </w:p>
    <w:p>
      <w:r>
        <w:t>Unter den Voraussetzungen von Art. 63 AuG kann die Niederlassungsbewilligung widerrufen werden. Einen Widerrufsgrund setzt ein Ausländer unter anderem dann, wenn er "zu einer längerfristigen Freiheitsstrafe verurteilt wurde" (Art. 62 lit. b AuG in Verbindung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In schwerwiegender Weise gegen die öffentliche Sicherheit und Ordnung verstösst in der Regel, wer durch seine Handlungen besonders hochwertige Rechtsgüter wie namentlich die körperliche, psychische und sexuelle Integrität eines Menschen verletzt oder gefährdet ( BGE 137 II 297 E. 3.3).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w:t>
      </w:r>
    </w:p>
    <w:p>
      <w:r>
        <w:rPr>
          <w:b/>
        </w:rPr>
        <w:t>E. 3.1</w:t>
      </w:r>
    </w:p>
    <w:p>
      <w:r>
        <w:t>Das Verwaltungsgericht hat - zum Teil unter Hinweis auf das erstinstanzliche Strafurteil - im Wesentlichen erwogen, der Beschwerdeführer habe über einen Zeitraum von fast eineinhalb Jahren aus rein finanziellen Gründen einen intensiven Kokainhandel betrieben und dadurch die Gesundheit einer grossen Anzahl von Menschen erheblich gefährdet, was ihm hätte bekannt sein müssen. Es sei deshalb nicht zu beanstanden, wenn die Migrationsbehörden auf ein sehr grosses Fernhalteinteresse geschlossen hätten. Beim Beschwerdeführer könne in persönlicher und beruflicher Hinsicht nicht einmal von einer durchschnittlichen Integration gesprochen werden, und es sei auch nicht davon auszugehen, dass die getrennt lebende Ehefrau des Beschwerdeführers durch dessen allfällige Wegweisung hart getroffen würde. Zwar erscheine sein gesundheitlicher Zustand bedenklich, aber nicht lebensbedrohend. Hinzu kämen persönliche Verhältnisse, die den Schluss nahe legten, dass der Beschwerdeführer sein Leben in der Schweiz insgesamt nicht erfolgreich habe gestalten können (gescheiterte Ehe, fehlende berufliche Integration). Es sei daher "gerade noch vertretbar", wenn die Migrationsbehörden eine Wegweisung für zumutbar erachtet hätten.</w:t>
      </w:r>
    </w:p>
    <w:p>
      <w:r>
        <w:rPr>
          <w:b/>
        </w:rPr>
        <w:t>E. 3.2</w:t>
      </w:r>
    </w:p>
    <w:p>
      <w:r>
        <w:t>Nicht in Zweifel gezogen werden kann, dass der Beschwerdeführer mit seiner Drogendelinquenz, derentwegen er mit einer Freiheitsstrafe von dreieinhalb Jahren verurteilt wurde, den Widerrufsgrund von Art. 62 lit. b AuG (Verurteilung zu einer "längerfristigen" Freiheitsstrafe) erfüllt (vorne E. 2.). Der Beschwerdeführer rügt jedoch eine qualifiziert fehlerhafte Interessenabwägung: Die kantonalen Behörden hätten "Art. 96 AuG, in Verbindung mit Art. 83 AuG und der Praxis zu EMRK Art. 3 unrichtig angewendet und das Interesse der Öffentlichkeit gegenüber dem privaten Interesse falsch gewürdigt". Er, der Beschwerdeführer, habe keine Beziehungen mehr zu Nigeria, und die Folgen seiner Schussverletzung - u. a. ein chronischer Infekt - müssten ständig überwacht werden, solle die gesundheitliche Situation nicht doch lebensbedrohlich werden. Die erforderliche medizinische Überwachung, Versorgung und Behandlung sei in Nigeria jedoch nicht möglich bzw. finanziell untragbar, weshalb dort allenfalls eine Notamputation des geschädigten Beines "wohl die einzige Möglichkeit" wäre, "den Tod abzuwenden, wenn überhaupt". Solches sei nicht zumutbar und menschenrechtswidrig.</w:t>
      </w:r>
    </w:p>
    <w:p>
      <w:r>
        <w:rPr>
          <w:b/>
        </w:rPr>
        <w:t>E. 3.3</w:t>
      </w:r>
    </w:p>
    <w:p>
      <w:r>
        <w:t>Diese Vorbringen sind nicht geeignet, die tatsächlichen Feststellungen des Verwaltungsgerichts und die von ihm daraus gezogenen rechtlichen Schlussfolgerungen als bundesrechts- bzw. konventionswidrig erscheinen zu lassen. Die Ausführungen des Gerichts zum Verschulden des Beschwerdeführers sowie zu dessen gesellschaftlicher und beruflicher Integration (vorne E. 3.1) sind nicht zu beanstanden. Zu Ungunsten des Beschwerdeführers fällt sodann besonders ins Gewicht, dass dieser ungeachtet darum, dass er - gemäss seinen eigenen Vorbringen - nach der im Heimatland erlittenen Schussverletzung von 2002 dringend auf einen Aufenthalt in der Schweiz angewiesen war, in der Folge die hiesige Rechtsordnung krass missachtete und in den Jahren 2006/2007 zahlreiche Betäubungsmitteldelikte (gesamthaft als "schwerer Fall" qualifiziert, vgl. vorne lit. C) beging. Diese Umstände rechtfertigen es, dass der nicht akut lebensbedrohlich verletzte bzw. erkrankte Beschwerdeführer das Fehlen einer allen Eventualitäten gerecht werdenden medizinischen Versorgung in seinem Heimatland in Kauf zu nehmen hat.</w:t>
      </w:r>
    </w:p>
    <w:p>
      <w:r>
        <w:rPr>
          <w:b/>
        </w:rPr>
        <w:t>E. 4</w:t>
      </w:r>
    </w:p>
    <w:p>
      <w:r>
        <w:t>Nach dem Gesagten erweist sich der im angefochtenen Entscheid geschützte Widerruf der Niederlassungsbewilligung als haltbar, verhältnismässig und damit gesetzes- und konventionskonform. Die Beschwerde ist als unbegründet abzuweisen. 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Somit sind die Kosten des bundesgerichtlichen Verfahrens dem Beschwerdeführer aufzuerlegen ( Art. 66 Abs. 1 und Art. 65 BGG ), wobei seiner finanziellen Lage bei der Bemessung der Gerichtsgebühr Rechnung zu tragen ist (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