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415/2009 vom 22. April 2010</w:t>
      </w:r>
    </w:p>
    <w:p>
      <w:r>
        <w:t>Bundesgericht, 2010-04-22, DE</w:t>
      </w:r>
    </w:p>
    <w:p>
      <w:r>
        <w:rPr>
          <w:b/>
        </w:rPr>
        <w:t xml:space="preserve">Quelle: </w:t>
      </w:r>
      <w:r>
        <w:t>https://mcp.opencaselaw.ch/entscheid/bger_2C_415_2009</w:t>
      </w:r>
    </w:p>
    <w:p>
      <w:r>
        <w:t>FR: TF 2C 415/2009 du 22 avril 2010</w:t>
      </w:r>
    </w:p>
    <w:p>
      <w:r>
        <w:t>IT: TF 2C 415/2009 del 22 aprile 2010</w:t>
      </w:r>
    </w:p>
    <w:p>
      <w:pPr>
        <w:pStyle w:val="Heading2"/>
      </w:pPr>
      <w:r>
        <w:t>Regeste</w:t>
      </w:r>
    </w:p>
    <w:p>
      <w:r>
        <w:t>Abfallreglement | Öffentliche Finanzen &amp; Abgaberecht</w:t>
      </w:r>
    </w:p>
    <w:p>
      <w:pPr>
        <w:pStyle w:val="Heading2"/>
      </w:pPr>
      <w:r>
        <w:t>Erwägungen</w:t>
      </w:r>
    </w:p>
    <w:p>
      <w:r>
        <w:rPr>
          <w:b/>
        </w:rPr>
        <w:t>E. 1</w:t>
      </w:r>
    </w:p>
    <w:p>
      <w:r>
        <w:t>Der Beschwerdeführer ficht einen kommunalen Erlass an. Das in der Eingabe an das Bundesgericht nicht näher bezeichnete Rechtsmittel kann einzig als Beschwerde in öffentlich-rechtlichen Angelegenheiten entgegengenommen werden ( Art. 82 lit. b BGG ). Als Eigentümer einer Liegenschaft in Huttwil ist der Beschwerdeführer von der angefochtenen Regelung zumindest virtuell betroffen und daher zur Rechtsmittelergreifung legitimiert. Die Begründung genügt den gesetzlichen Anforderungen nach Art. 42 Abs. 2 und Art. 106 Abs. 2 BGG nicht in allen Teilen (vgl. BGE 133 II 249 E. 1.4 S. 254 f. ; 134 I 65 E. 1.3 - 1.5 S. 67 f.; 134 II 244 E. 2.1 - 2.3 S. 245 ff.). Soweit aus ihr aber klar hervorgeht, was der Beschwerdeführer erreichen und rügen will, ist auf sein Rechtsmittel einzutreten, zumal auch die übrigen Sachurteilsvoraussetzungen erfüllt sind (vgl. insb. Art. 86 Abs. 1 lit. d, Art. 87 Abs. 2, Art. 90 und 100 BGG ).</w:t>
      </w:r>
    </w:p>
    <w:p>
      <w:r>
        <w:rPr>
          <w:b/>
        </w:rPr>
        <w:t>E. 2.1</w:t>
      </w:r>
    </w:p>
    <w:p>
      <w:r>
        <w:t>Die Entsorgung der Siedlungsabfälle obliegt im Kanton Bern den Gemeinden. Sie erheben zur Finanzierung Gebühren, deren Ausgestaltung den Grundsätzen des Umweltschutzgesetzes des Bundes (USG; SR 814.01) zu entsprechen hat (Art. 28 des bernischen Abfallgesetzes vom 18. Juni 2003). Wie die Vorinstanz zutreffend darlegt, muss sich die Erhebung der Abfallgebühren nach dem Verursacherprinzip richten ( Art. 32a USG ; vgl. auch Art. 74 Abs. 2 BV und Art. 2 USG ). Sie muss ausserdem den Grundsatz der Rechtsgleichheit beachten und darf nicht willkürlich sein ( Art. 8 und 9 BV ; dazu allg. BGE 131 I 1 E. 4.2 S. 6 f. ; 134 I 140 E. 5.4 S. 148, je mit Hinweisen).</w:t>
      </w:r>
    </w:p>
    <w:p>
      <w:r>
        <w:rPr>
          <w:b/>
        </w:rPr>
        <w:t>E. 2.2</w:t>
      </w:r>
    </w:p>
    <w:p>
      <w:r>
        <w:t>Der Beschwerdeführer rügt sinngemäss eine Verletzung dieser bundesrechtlichen Grundsätze. Er macht geltend, es müsse bei der Erhebung der Abfallgrundgebühr dem Umstand Rechnung getragen werden, dass Wohnungen "vergängliche" Objekte seien. Es dürfe für unbewohnte Altwohnungen und renovationsbedürftige Wohnungen, die längere Zeit leer stünden, nicht in gleicher Weise wie für bewohnte Wohnungen eine Grundgebühr verlangt werden. Solche Wohnungen hätten keine Benützer mehr. Es sei deshalb willkürlich, dafür Grundgebühren zu verlangen, die nur von Benützern der Abfallentsorgung erhoben werden könnten. Das Abfallreglement hätte deshalb die Pflicht zur Entrichtung einer Grundgebühr auf "besetzte" Wohnungen beschränken müssen.</w:t>
      </w:r>
    </w:p>
    <w:p>
      <w:r>
        <w:rPr>
          <w:b/>
        </w:rPr>
        <w:t>E. 3</w:t>
      </w:r>
    </w:p>
    <w:p>
      <w:r>
        <w:t>Nach Art. 13 Abs. 1 AR setzen sich die Abfallgebühren aus Grund- und Benützungsgebühren zusammen. Erstere werden pro Wohnung von deren Eigentümern erhoben. Gemäss Art. 13 Abs. 4 AR decken die Grundgebühren diejenigen Aufwendungen, die von allen Benutzern gleichermassen verursacht werden oder die im überwiegenden öffentlichen Interesse erfolgen. Die kantonalen Behörden gehen zu Recht davon aus, dass es sich bei der fraglichen Abgabe um eine sog. Bereitstellungsgebühr handelt, die insbesondere für die blosse Aufrechterhaltung der Infrastruktur (Organisation der Einsammlung und des Transports sowie der Verwertung der Abfälle) zu bezahlen ist. Da die Grundgebühr damit der Deckung der Fixkosten dient, die unabhängig von der Abfallmenge anfallen, widerspricht es dem Verursacherprinzip nicht, wenn sie pro Wohnung zu bezahlen ist. Nach der bundesgerichtlichen Rechtsprechung ist es ebenfalls zulässig, Grundgebühren bei vermieteten Wohnungen nicht beim Mieter, sondern beim Liegenschaftseigentümer zu erheben, da er sie auf den Mieter überwälzen kann (Urteil 2A.403/1995 vom 28. Oktober 1996 E. 4b, in: URP 1997 S. 39; bestätigt im Urteil 2P.187/2006 vom 26. März 2007 E. 2.4). Die Grundgebühr wird nach Art. 13 Abs. 1 AR unabhängig von der zu entsorgenden Abfallmenge bzw. von der effektiven Benützung der kommunalen Abfallentsorgung geschuldet. Die Abgabe muss demnach auch für Wohnungen mit nur wenig oder überhaupt keinem Abfall bezahlt werden. Damit wird dem Umstand Rechnung getragen, dass als Verursacher der Fixkosten der Infrastruktur alle Bewohner bzw. Eigentümer von Liegenschaften erscheinen, welche die Abfallentsorgung jederzeit benutzen können, auch wenn sie diese im Moment nicht gebrauchen (vgl. die erwähnten Urteile 2A.403/1995 E. 4b und 2P.187/2006 E. 2.4 sowie Urteil 2P.266/2003 vom 5. März 2004 E. 3.2, in: URP 2004 S. 197; Veronika Huber-Wälchli, Finanzierung und Entsorgung von Siedlungsabfällen durch kostendeckende und verursachergerechte Gebühren, URP 1999 S. 55; vgl. auch Ursula Brunner, Kommentar zum Umweltschutzgesetz, 2. Aufl., 8. Lieferung, 2001, N. 78 und 80 zu Art. 32a). Es ist deshalb keineswegs willkürlich und auch nicht im Widerspruch zum Verursacherprinzip, die Abfallgrundgebühr für vorübergehend leer stehende Wohnungen zu erheben, wenn jederzeit mit deren erneuten Benützung zu rechnen ist. Als Benützer erscheinen diesfalls die Liegenschaftseigentümer, welche die Wohnung kurzfristig wieder einer Nutzung zuführen können und damit Kosten für die Bereitstellung der Infrastruktur mitverursachen. Anders kann es sich demgegenüber bei Wohnungen verhalten, bei denen z.B. wegen eines bevorstehenden Abbruchs eine Weiterbenützung von vornherein nicht mehr in Betracht kommt oder bei denen aus anderen Gründen davon auszugehen ist, dass sie für längere Zeit leer stehen. Scheidet eine weitere Benützung der Infrastruktur zumindest in absehbarer Zeit aus, entfällt auch regelmässig die Pflicht zur Entrichtung der Grundgebühr nach Art. 13 AR. Es wäre zwar möglich, das Abfallreglement in diesem Sinn zu präzisieren. Erforderlich ist das aber nicht, da sich der Wegfall der Abgabepflicht insoweit zwanglos auch durch Auslegung der genannten Norm ergibt. Die vom Beschwerdeführer verlangte Einschränkung der Abgabepflicht auf besetzte Wohnungen geht über die erwähnten besonderen Fälle hinaus und erfasst namentlich auch die bloss vorübergehend leer stehenden Objekte. Für Letztere darf indessen - wie dargelegt - eine Grundgebühr erhoben werden. Die angefochtene Regelung verstösst demnach weder gegen das Verursacherprinzip noch gegen die übrigen sinngemäss gerügten verfassungsmässigen Rechte.</w:t>
      </w:r>
    </w:p>
    <w:p>
      <w:r>
        <w:rPr>
          <w:b/>
        </w:rPr>
        <w:t>E. 4</w:t>
      </w:r>
    </w:p>
    <w:p>
      <w:r>
        <w:t>Die Beschwerde in öffentlich-rechtlichen Angelegenheiten ist demnach abzuweisen, soweit darauf einzutreten ist. Bei diesem Verfahrensausgang sind die bundesgerichtlichen Kosten dem Beschwerdeführer aufzuerlegen ( Art. 65 und 66 Abs. 1 BGG ).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