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2C_411/2020 vom 25. Mai 2020</w:t>
      </w:r>
    </w:p>
    <w:p>
      <w:r>
        <w:t>Bundesgericht, 2020-05-25, FR</w:t>
      </w:r>
    </w:p>
    <w:p>
      <w:r>
        <w:rPr>
          <w:b/>
        </w:rPr>
        <w:t xml:space="preserve">Quelle: </w:t>
      </w:r>
      <w:r>
        <w:t>https://mcp.opencaselaw.ch/entscheid/bger_2C_411_2020</w:t>
      </w:r>
    </w:p>
    <w:p>
      <w:r>
        <w:t>FR: TF 2C_411/2020 du 25 mai 2020</w:t>
      </w:r>
    </w:p>
    <w:p>
      <w:r>
        <w:t>IT: TF 2C_411/2020 del 25 maggio 2020</w:t>
      </w:r>
    </w:p>
    <w:p>
      <w:pPr>
        <w:pStyle w:val="Heading2"/>
      </w:pPr>
      <w:r>
        <w:t>Erwägungen</w:t>
      </w:r>
    </w:p>
    <w:p>
      <w:r>
        <w:rPr>
          <w:b/>
        </w:rPr>
        <w:t>E. 1</w:t>
      </w:r>
    </w:p>
    <w:p>
      <w:r>
        <w:t>A.________, ressortissant de Guinée, a obtenu une autorisation de séjour à titre humanitaire le 1er avril 2009, régulièrement renouvelée jusqu'au 31 mars 2017. Il est le père de trois enfants mineurs séjournant en Suisse sur lesquels il n'a ni l'autorité parentale ni le droit de garde. Il a quitté la Suisse le 9 février 2018. Par décision du 7 novembre 2018, le Service de la population et des migrations du canton de Fribourg a refusé la demande d'entrée et de séjour déposée par l'intéressé. Les conditions pour accorder une autorisation de séjour facilitée au sens de l' art. 30 al. 1 let . k n'étaient pas réunies.</w:t>
      </w:r>
    </w:p>
    <w:p>
      <w:r>
        <w:rPr>
          <w:b/>
        </w:rPr>
        <w:t>E. 2</w:t>
      </w:r>
    </w:p>
    <w:p>
      <w:r>
        <w:t>Par arrêt du 31 mars 2020, le Tribunal cantonal du canton de Fribourg a rejeté le recours que l'intéressé avait déposé contre la décision rendue le 7 novembre 2018 par le Service de la population et des migrations du canton de Fribourg. C'était à juste titre que l'autorisation de séjour avait été considérée comme caduque en application de l' art. 61 al. 2 LEI . Les conditions de l' art. 8 CEDH n'étaient pas réunies pour accorder une autorisation de séjour pour regroupement familial en protection de la vie de famille ou une autorisation de séjour en protection de la vie privée, dès lors qu'il avait séjourné en Suisse moins de dix ans et ne pouvait se prévaloir d'une forte intégration en raison des procédures pénales passées.</w:t>
      </w:r>
    </w:p>
    <w:p>
      <w:r>
        <w:rPr>
          <w:b/>
        </w:rPr>
        <w:t>E. 3</w:t>
      </w:r>
    </w:p>
    <w:p>
      <w:r>
        <w:t>Agissant par la voie du recours en matière de doit public, l'intéressé demande au Tribunal fédéral, sous suite de frais et dépens, d'annuler l'arrêt rendu le 31 mars 2020 par le Tribunal cantonal du canton de Fribourg. Il invoque la protection de la vie de famille et celle de la vie privée et se plaint d'une violation de l' art. 8 CEDH . Il demande l'assistance judiciaire.</w:t>
      </w:r>
    </w:p>
    <w:p>
      <w:r>
        <w:rPr>
          <w:b/>
        </w:rPr>
        <w:t>E. 4</w:t>
      </w:r>
    </w:p>
    <w:p>
      <w:r>
        <w:t>Selon l' art. 83 let . c ch. 2 et 4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celles qui concernent les dérogations aux conditions d'admission, parmi lesquelles figurent les cas de rigueur en cause en l'espèce ( art. 30 al. 1 let . k LEI).</w:t>
      </w:r>
    </w:p>
    <w:p>
      <w:r>
        <w:rPr>
          <w:b/>
        </w:rPr>
        <w:t>E. 4.1</w:t>
      </w:r>
    </w:p>
    <w:p>
      <w:r>
        <w:t>Selon la jurisprudence récente ( ATF 144 I 91 consid. 4 à 6 p. 95 ss), que l'instance précédente a correctement rappelée,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cet enfant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w:t>
      </w:r>
    </w:p>
    <w:p>
      <w:r>
        <w:t>En l'espèce, le recourant ne peut se prévaloir d'un comportement irréprochable, puisqu'il a été condamné en 2014 pour alcool au volant et a reconnu avoir exercé des violences conjugales en octobre 2015 contre sa jeune épouse, qui a obtenu la prolongation de son autorisation de séjour pour raisons personnelles majeures au sens de l' art. 77 OASA .</w:t>
      </w:r>
    </w:p>
    <w:p>
      <w:r>
        <w:rPr>
          <w:b/>
        </w:rPr>
        <w:t>E. 4.2</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il ressort des faits de l'arrêt attaqué que le recourant a séjourné légalement en Suisse moins de dix ans. A cela s'ajoute que l'instance précédente a constaté, sans être contredite par une motivation conforme aux exigences de l' art. 97 al. 1 LTF , que ce dernier ne pouvait pas se prévaloir d'une forte intégration en Suisse.</w:t>
      </w:r>
    </w:p>
    <w:p>
      <w:r>
        <w:t>Dans ces circonstances, le recourant ne peut invoquer de manière soutenable ni la protection de la vie de famille ni celle de la vie privée garanties par l' art. 8 CEDH pour s'opposer au refus d'octroi d'une autorisation de séjour en Suisse.</w:t>
      </w:r>
    </w:p>
    <w:p>
      <w:r>
        <w:t>Il s'ensuit que le recours en matière de droit public est irrecevable. Seule reste ouverte la voie du recours constitutionnel subsidiaire ( art. 113 ss LTF ) pour violation des droits constitutionnels ( art. 116 LTF ).</w:t>
      </w:r>
    </w:p>
    <w:p>
      <w:r>
        <w:rPr>
          <w:b/>
        </w:rPr>
        <w:t>E. 5</w:t>
      </w:r>
    </w:p>
    <w:p>
      <w:r>
        <w:t>La qualité pour former un recours constitutionnel subsidiaire suppose toutefois un intérêt juridique à l'annulation ou à la modification de la décision attaquée ( art. 115 let. b LTF ). Le recourant, qui ne peut se prévaloir de l' art. 8 CEDH (cf. consid. 4 ci-dessus),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ne formule aucun grief relatif à la violation d'un droit constitutionnel formel.</w:t>
      </w:r>
    </w:p>
    <w:p>
      <w:r>
        <w:rPr>
          <w:b/>
        </w:rPr>
        <w:t>E. 6</w:t>
      </w:r>
    </w:p>
    <w:p>
      <w:r>
        <w:t>Le recours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