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2C_411/2012 vom 3. Dezember 2012</w:t>
      </w:r>
    </w:p>
    <w:p>
      <w:r>
        <w:t>Bundesgericht, 2012-12-03, DE</w:t>
      </w:r>
    </w:p>
    <w:p>
      <w:r>
        <w:rPr>
          <w:b/>
        </w:rPr>
        <w:t xml:space="preserve">Quelle: </w:t>
      </w:r>
      <w:r>
        <w:t>https://mcp.opencaselaw.ch/entscheid/bger_2C_411_2012</w:t>
      </w:r>
    </w:p>
    <w:p>
      <w:r>
        <w:t>FR: TF 2C_411/2012 du 3 décembre 2012</w:t>
      </w:r>
    </w:p>
    <w:p>
      <w:r>
        <w:t>IT: TF 2C_411/2012 del 3 dicembre 2012</w:t>
      </w:r>
    </w:p>
    <w:p>
      <w:pPr>
        <w:pStyle w:val="Heading2"/>
      </w:pPr>
      <w:r>
        <w:t>Erwägungen</w:t>
      </w:r>
    </w:p>
    <w:p>
      <w:r>
        <w:rPr>
          <w:b/>
        </w:rPr>
        <w:t>E. 1</w:t>
      </w:r>
    </w:p>
    <w:p>
      <w:r>
        <w:t>Gemäss Art. 73 Abs. 1 des Bundesgesetzes vom 14. Dezember 1990 über die Harmonisierung der direkten Steuern der Kantone und Gemeinden (Steuerharmonisierungsgesetz, StHG; SR 642.14) unterliegen Entscheide der letzten kantonalen Instanz, die eine - wie hier - in den Titeln 2-5 und 6 Kapitel 1 geregelte Materie betreffen, nach Massgabe des Bundesgerichtsgesetzes der Beschwerde in öffentlich-rechtlichen Angelegenheiten an das Bundesgericht (vgl. auch Art. 82 lit. a und Art. 86 Abs. 1 lit. d BGG ). Für die eventualiter miterhobene subsidiäre Verfassungsbeschwerde besteht daher kein Raum (vgl. Art. 113 BGG ).</w:t>
      </w:r>
    </w:p>
    <w:p>
      <w:r>
        <w:rPr>
          <w:b/>
        </w:rPr>
        <w:t>E. 2</w:t>
      </w:r>
    </w:p>
    <w:p>
      <w:r>
        <w:t>Die vorliegende - grundsätzlich zulässige (E. 1) - Beschwerde in öffentlich-rechtlichen Angelegenheiten erweist sich als offensichtlich unbegründet (soweit überhaupt darauf eingetreten kann), und sie ist im Verfahren nach Art. 109 BGG mit summarischer Begründung zu erledigen:</w:t>
      </w:r>
    </w:p>
    <w:p>
      <w:r>
        <w:rPr>
          <w:b/>
        </w:rPr>
        <w:t>E. 2.1</w:t>
      </w:r>
    </w:p>
    <w:p>
      <w:r>
        <w:t>Gemäss Art. 42 BGG haben Rechtsschriften die Begehren und deren Begründung zu enthalten (Abs. 1). In der Begründung ist in gedrängter Form darzulegen, inwiefern der angefochtene Akt Recht verletzt (Abs. 2). In der Beschwerdebegründung muss konkret auf die für das Ergebnis des angefochtenen Entscheids massgeblichen Erwägungen der Vorinstanz selber eingegangen werden; diesem Erfordernis genügt nicht, wer dem Bundesgericht eine Begründung vorlegt, die weitgehend deckungsgleich mit derjenigen ist, die der Vorinstanz präsentiert worden ist und womit sich diese befasst hat ( BGE 134 II 244 E. 2.3 S. 246 f.).</w:t>
      </w:r>
    </w:p>
    <w:p>
      <w:r>
        <w:t>Die Beschwerdeführerin legt dem Bundesgericht eine Rechtsschrift vor, die auf den Seiten 5-9 praktisch wortwörtlich mit den Seiten 4-8 ihrer Eingabe vom 22. Juni 2011 an das kantonale Verwaltungsgericht übereinstimmt. Der Beschwerdeführer soll in der Beschwerdeschrift aber nicht bloss die Rechtsstandpunkte, die er im kantonalen Verfahren eingenommen hat, erneut bekräftigen, sondern mit seiner Kritik an den als rechtsfehlerhaft erachteten Erwägungen der Vorinstanz ansetzen (vgl. BGE 134 II 244 E. 2.1). Dies tut die Beschwerdeführerin weitestgehend nicht; auf ihre diesbezüglichen Ausführungen ist nicht weiter einzugehen. Dies gilt ganz besonders auch für ihre Kritik an der Auslegung und Anwendung von § 104 Abs. 3 des kantonalen Steuergesetzes (Zurechnungen von Leistungen Dritter zum Veräusserungsgewinn): Die Vorinstanz hat sich mit diesen Einwendungen befasst (E. 4 des angefochtenen Entscheides), ohne dass sich die Beschwerdeführerin - auch nicht im Geringsten - mit den Überlegungen des Verwaltungsgerichts auseinandersetzen würde.</w:t>
      </w:r>
    </w:p>
    <w:p>
      <w:r>
        <w:rPr>
          <w:b/>
        </w:rPr>
        <w:t>E. 2.2</w:t>
      </w:r>
    </w:p>
    <w:p>
      <w:r>
        <w:t>Soweit die Beschwerdeführerin rügt, die Beweiswürdigung durch das Verwaltungsgericht sei willkürlich (S. 4 unten der Beschwerdeschrift), ist ihr vorab entgegenzuhalten, dass dem Sachgericht im Bereich der Beweiswürdigung ein erheblicher Ermessensspielraum zusteht ( BGE 120 Ia 31 E. 4b S. 40). Das Bundesgericht greift nur ein, wenn die Beweiswürdigung offensichtlich unhaltbar ist, mit der tatsächlichen Situation in klarem Widerspruch steht, auf einem offensichtlichen Versehen beruht oder in stossender Weise dem Gerechtigkeitsgedanken zuwiderläuft ( Art. 105 Abs. 1 und 2 BGG ; BGE 130 II 425 E. 2.1 S. 428 ; 124 I 208 E. 4a S. 211).</w:t>
      </w:r>
    </w:p>
    <w:p>
      <w:r>
        <w:t>Davon kann vorliegend keine Rede sein:</w:t>
      </w:r>
    </w:p>
    <w:p>
      <w:r>
        <w:t>Zunächst hat sich das Verwaltungsgericht zutreffend zu den Fragen der Beweislastverteilung, dem Risiko der Beweislosigkeit und der Beweiswürdigung im Allgemeinen sowie im (Grundstückgewinn-)Steuerrecht im Besonderen geäussert; diesen Ausführungen (vgl. S. 4 und 5 des angefochtenen Entscheides) ist nichts beizufügen und es kann auf sie verwiesen werden ( Art. 109 Abs. 3 BGG ). Es ist alsdann nicht willkürlich, wenn das Verwaltungsgericht erkannte, aus der vorgelegten Zahlungsbestätigung der B.________ GmbH (vorne lit. C) ergebe sich nicht, dass die Beschwerdeführerin - auch angesichts ihrer leitenden Stellung in der Gesellschaft - die Rechnungen privat (und nicht für die Y.________ AG, an welche die Rechnungen gerichtet waren) bezahlt habe. Dass die Beschwerdeführerin aufgrund ihrer Lohnbezüge (vgl. vorne lit. A) in der Lage gewesen wäre, die Rechnungen privat zu bezahlen - wie sie geltend macht - ändert nichts (vgl. die Ausführungen des Verwaltungsgerichts zu den verdeckten Gewinnausschüttungen in E. 3 seines Entscheides [wobei es den zutreffenden Schluss zieht, der geforderte Nachweis liesse sich nur durch entsprechende Zahlungsbelege der Beschwerdeführerin selbst oder durch die Buchhaltung der inzwischen in Konkurs gegangenen Y.________ AG erbringen]).</w:t>
      </w:r>
    </w:p>
    <w:p>
      <w:r>
        <w:t>Auch der Einwand, die Grundstückgewinnsteuerveranlagung sei erst rund vier Jahre nach dem Verkauf der Liegenschaft vorgenommen worden, was es der Beschwerdeführerin verunmöglicht habe, Geschäftsunterlagen der konkursiten und inzwischen untergegangenen Y.________ AG beizubringen, ist im Lichte der in zahlreichen Erlassen normierten Regeln über die Aufbewahrung von Geschäftsunterlagen (vgl. etwa Art. 957 in Verbindung mit Art. 962 OR , Art. 70 in Verbindung mit Art. 46 Abs. 2 MWSTG , ferner Art. 13 ff. der Verordnung vom 13. Juli 1911 über die Geschäftsführung der Konkursämter [KOV, SR 281.32] ) nicht geeignet, den Vorwurf der Willkür zu begründen: Dass die Beschwerdeführerin entsprechende Bemühungen unternommen hätte, an die heute zweifellos noch vorhandenen Geschäftsunterlagen der Y.________ AG - mit welchen es ihr allenfalls gelungen wäre, den Nachweis einer privaten Kostentragung der Aufwendungen für den Wintergarten zu erbringen - zu gelangen, ist weder dargetan noch ersichtlich.</w:t>
      </w:r>
    </w:p>
    <w:p>
      <w:r>
        <w:rPr>
          <w:b/>
        </w:rPr>
        <w:t>E. 3</w:t>
      </w:r>
    </w:p>
    <w:p>
      <w:r>
        <w:t>Dem Verfahrensausgang entsprechend sind die Gerichtskosten der Beschwerdeführerin aufzuerlegen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