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2C_409/2025 vom 1. September 2025</w:t>
      </w:r>
    </w:p>
    <w:p>
      <w:r>
        <w:t>Bundesgericht, 2025-09-01, DE</w:t>
      </w:r>
    </w:p>
    <w:p>
      <w:r>
        <w:rPr>
          <w:b/>
        </w:rPr>
        <w:t xml:space="preserve">Quelle: </w:t>
      </w:r>
      <w:r>
        <w:t>https://mcp.opencaselaw.ch/entscheid/bger_2C_409_2025</w:t>
      </w:r>
    </w:p>
    <w:p>
      <w:r>
        <w:t>FR: TF 2C_409/2025 du 1 septembre 2025</w:t>
      </w:r>
    </w:p>
    <w:p>
      <w:r>
        <w:t>IT: TF 2C_409/2025 del 1 settembre 2025</w:t>
      </w:r>
    </w:p>
    <w:p>
      <w:pPr>
        <w:pStyle w:val="Heading2"/>
      </w:pPr>
      <w:r>
        <w:t>Erwägungen</w:t>
      </w:r>
    </w:p>
    <w:p>
      <w:r>
        <w:rPr>
          <w:b/>
        </w:rPr>
        <w:t>E. 1.1</w:t>
      </w:r>
    </w:p>
    <w:p>
      <w:r>
        <w:t>Der dominikanische Staatsangehörige A.________ reiste am 30. April 1992 in die Schweiz ein und erhielt in der Folge eine Niederlassungsbewilligung zum Verbleib bei seiner Mutter. Mit Verfügung vom 19. Oktober 2020 wurde die Niederlassungsbewilligung von A.________ infolge seiner mehrfachen Straffälligkeit, des fortgesetzten Sozialhilfebezugs sowie der mutwilligen Schuldenwirtschaft widerrufen und durch eine Aufenthaltsbewilligung ersetzt (Rückstufung). Die Aufenthaltsbewilligung wurde bis am 6. Januar 2022 befristet. A.________ ist nach eigenen Angaben am 10. Januar 2021 nach U.________ im Kanton Graubünden gezogen. Sein Gesuch vom 3. Januar 2022 um Erteilung einer Aufenthaltsbewilligung im Kanton Graubünden wurde mit Schreiben des Amts für Migration und Zivilrecht Graubünden vom 6. Januar 2022 abgelehnt.</w:t>
      </w:r>
    </w:p>
    <w:p>
      <w:r>
        <w:rPr>
          <w:b/>
        </w:rPr>
        <w:t>E. 1.2</w:t>
      </w:r>
    </w:p>
    <w:p>
      <w:r>
        <w:t>Mit Verfügung vom 3. September 2024 wies das Migrationsamt des Kantons Zürich ein Gesuch von A.________ vom 28. Juli 2023 um Verlängerung der Aufenthaltsbewilligung im Kanton Zürich ab. Einen dagegen erhobenen Rekurs wies die Sicherheitsdirektion des Kantons Zürich mit Entscheid vom 20. November 2024 ab.</w:t>
      </w:r>
    </w:p>
    <w:p>
      <w:r>
        <w:rPr>
          <w:b/>
        </w:rPr>
        <w:t>E. 1.3</w:t>
      </w:r>
    </w:p>
    <w:p>
      <w:r>
        <w:t>Mit Verfügung der Einzelrichterin vom 24. Juni 2025 trat das Verwaltungsgericht des Kantons Zürich, 2. Abteilung, auf eine gegen den Entscheid der Sicherheitsdirektion gerichtete Beschwerde von A.________ infolge Nichtleistung des Kostenvorschusses nicht ein.</w:t>
      </w:r>
    </w:p>
    <w:p>
      <w:r>
        <w:rPr>
          <w:b/>
        </w:rPr>
        <w:t>E. 1.4</w:t>
      </w:r>
    </w:p>
    <w:p>
      <w:r>
        <w:t>A.________ erhebt mit Eingabe vom 24. Juli 2025 Beschwerde an das Bundesgericht und beantragt sinngemäss die Verlängerung seiner Aufenthalts- bzw. Niederlassungsbewilligung. Mit Schreiben vom 28. Juli 2025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In der Folge reichte er keine weitere Eingabe ein.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Vorliegend ist die Vorinstanz auf die bei ihr eingereichte Beschwerde nicht eingetreten, weil der Beschwerdeführer den von ihm verlangten Kostenvorschuss innerhalb der ihm angesetzten Frist nicht geleistet habe.</w:t>
      </w:r>
    </w:p>
    <w:p>
      <w:r>
        <w:rPr>
          <w:b/>
        </w:rPr>
        <w:t>E. 2.3</w:t>
      </w:r>
    </w:p>
    <w:p>
      <w:r>
        <w:t>In seiner Eingabe an das Bundesgericht setzt sich der Beschwerdeführer in keiner Weise mit den vorinstanzlichen Erwägungen auseinander, die zum Nichteintreten auf sein Rechtsmittel geführt haben. Vielmehr beschränkt er sich darauf, zu behaupten, dass er mit der angefochtenen Verfügung nicht einverstanden sei, da er in der Schweiz aufgewachsen bzw. gut integriert sei und weiterhin hier leben wolle. Damit legt er nicht substanziiert dar ( Art. 106 Abs. 2 BGG ), dass und inwiefern die Vorinstanz das kantonale Recht (vgl. § 15 Abs. 2 lit. b des Verwaltungsrechtspflegegesetzes des Kantons Zürich vom 24. Mai 1959 [VRG/ZH; LS 175.2]) willkürlich angewendet oder sonstwie Bundes (verfassungs) recht verletzt habe, indem sie auf seine Beschwerde zufolge Nichtleistung des Kostenvorschusses nicht eingetreten ist.</w:t>
      </w:r>
    </w:p>
    <w:p>
      <w:r>
        <w:rPr>
          <w:b/>
        </w:rPr>
        <w:t>E. 3.1</w:t>
      </w:r>
    </w:p>
    <w:p>
      <w:r>
        <w:t>Die Beschwerde erweist sich als offensichtlich unbegründet ( Art. 42 Abs. 2 und Art. 106 Abs. 2 BGG ). Es ist darauf mit Entscheid der Abteilungspräsidentin als Einzelrichterin im vereinfachten Verfahren nach Art. 108 BGG (Abs. 1 lit. b) nicht einzutreten.</w:t>
      </w:r>
    </w:p>
    <w:p>
      <w:r>
        <w:rPr>
          <w:b/>
        </w:rPr>
        <w:t>E. 3.2</w:t>
      </w:r>
    </w:p>
    <w:p>
      <w:r>
        <w:t>Umständehalber wird auf die Erhebung von Gerichtskosten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