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408/2019 vom 9. September 2019</w:t>
      </w:r>
    </w:p>
    <w:p>
      <w:r>
        <w:t>Bundesgericht, 2019-09-09, DE</w:t>
      </w:r>
    </w:p>
    <w:p>
      <w:r>
        <w:rPr>
          <w:b/>
        </w:rPr>
        <w:t xml:space="preserve">Quelle: </w:t>
      </w:r>
      <w:r>
        <w:t>https://mcp.opencaselaw.ch/entscheid/bger_2C_408_2019</w:t>
      </w:r>
    </w:p>
    <w:p>
      <w:r>
        <w:t>FR: TF 2C 408/2019 du 9 septembre 2019</w:t>
      </w:r>
    </w:p>
    <w:p>
      <w:r>
        <w:t>IT: TF 2C 408/2019 del 9 settembre 2019</w:t>
      </w:r>
    </w:p>
    <w:p>
      <w:pPr>
        <w:pStyle w:val="Heading2"/>
      </w:pPr>
      <w:r>
        <w:t>Regeste</w:t>
      </w:r>
    </w:p>
    <w:p>
      <w:r>
        <w:t>Widerruf der Niederlassungsbewilligung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Art. 86 Abs. 1 lit. d und Abs. 2 BGG ), da der Beschwerdeführer grundsätzlich einen Anspruch auf das Fortbestehen der Bewilligung geltend machen kann ( BGE 135 II 1 E. 1.2.1 S. 4; Art. 83 lit. c Ziff. 2 BGG e contrario). Auf die im Übrigen form- und fristgerecht eingereichte Beschwerde (vgl. Art. 42 und 100 Abs. 1 BGG ) des hierzu legitimierten Beschwerdeführers ( Art. 89 Abs. 1 BGG ) ist einzutreten.</w:t>
      </w:r>
    </w:p>
    <w:p>
      <w:r>
        <w:rPr>
          <w:b/>
        </w:rPr>
        <w:t>E. 2.1</w:t>
      </w:r>
    </w:p>
    <w:p>
      <w:r>
        <w:t>Nach Art. 63 Abs. 1 lit. b AIG (SR 142.20; bis zum 1. Januar 2019: AuG [AS 2007 5437])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(Art. 63 Abs. 2 AuG).</w:t>
      </w:r>
    </w:p>
    <w:p>
      <w:r>
        <w:rPr>
          <w:b/>
        </w:rPr>
        <w:t>E. 2.2</w:t>
      </w:r>
    </w:p>
    <w:p>
      <w:r>
        <w:t>Nach Art. 80 Abs. 1 lit. a der Verordnung vom 24. Oktober 2007 über Zulassung, Aufenthalt und Erwerbstätigkeit (VZAE; SR 142.201; in der Fassung bis 31. Dezember 2018 [AS 2007 5497])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oder gefährdet hat ( BGE 137 II 297 E. 3.3 S. 303). Nach der Rechtsprechung zu Art. 63 Abs. 1 lit. b AIG (vgl. BGE 137 II 297 E. 3.3 S. 303 f.; Urteile 2C_542/2016 vom 27. November 2017 E. 4.3; 2C_106/2017 vom 22. August 2017 E. 3.2 und 3.3 [Auflistung verschiedener Konstellationen]) können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 f.).</w:t>
      </w:r>
    </w:p>
    <w:p>
      <w:r>
        <w:rPr>
          <w:b/>
        </w:rPr>
        <w:t>E. 2.3</w:t>
      </w:r>
    </w:p>
    <w:p>
      <w:r>
        <w:t>Nach Art. 80 Abs. 1 lit. b VZAE (in der Fassung bis 31. Dezember 2018 [AS 2007 5497]) liegt ein Verstoss gegen die öffentliche Sicherheit und Ordnung unter anderem bei mutwilliger Nichterfüllung der öffentlich-rechtlichen oder privatrechtlichen Verpflichtungen vor. Rechtsprechungsgemäss genügt Schuldenwirtschaft für sich allein nicht für den Widerruf der Niederlassungsbewilligung. Vorausgesetzt ist Mutwilligkeit der Verschuldung, d.h. diese muss selbst verschuldet und qualifiziert vorwerfbar sein ( BGE 137 II 297 E. 3.3 S. 304). Davon ist nicht leichthin auszugehen (vgl. Urteil 2C_658/2017 vom 25. Juni 2018 E. 3.1 mit Hinweis). Wurde bereits eine ausländerrechtliche Verwarnung ( Art. 96 Abs. 2 AIG )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 2C_658/2017 vom 25. Juni 2018 E. 3.1 mit Hinweisen). Ob der Ausländer willens und in der Lage ist, sich in die hier geltende Ordnung einzufügen, kann nur anhand einer Gesamtbetrachtung seines Verhaltens beurteilt werden ( BGE 137 II 297 E. 3.3 S. 304).</w:t>
      </w:r>
    </w:p>
    <w:p>
      <w:r>
        <w:rPr>
          <w:b/>
        </w:rPr>
        <w:t>E. 2.4.1</w:t>
      </w:r>
    </w:p>
    <w:p>
      <w:r>
        <w:t>Der Beschwerdeführer bestreitet, dass der Widerrufsgrund von Art. 63 Abs. 1 lit. b AIG erfüllt ist. Im Wesentlichen argumentiert er, dass er nicht in schwerwiegender Weise gegen die öffentliche Sicherheit und Ordnung in der Schweiz verstossen habe. Die Vorinstanz sei nur zu diesem Schluss gekommen, weil sie weit zurückliegende sowie bereits aus dem Strafregister gestrichene Verfehlungen berücksichtigt habe.</w:t>
      </w:r>
    </w:p>
    <w:p>
      <w:r>
        <w:rPr>
          <w:b/>
        </w:rPr>
        <w:t>E. 2.4.2</w:t>
      </w:r>
    </w:p>
    <w:p>
      <w:r>
        <w:t>Die den Straferkenntnissen zugrunde liegenden Verfehlungen verteilen sich über einen Zeitraum von 1998 bis 2014. Die insgesamt elf Straferkenntnisse erfolgten zweimal im 1999 (60 Tage Gefängnis und Busse), einmal im 2003 (drei Monate Gefängnis), zweimal im 2006 (ein Monat Gefängnis, zwei Monate Gefängnis und Busse), einmal im 2009 (18 Monate Gefängnis), einmal im 2012 (Busse), zweimal im 2014 (Geldstrafe und Busse), einmal im 2015 (Busse) und einmal im 2016 (Geldstrafe und Busse). Sie betreffen sechsmal Strassenverkehrsdelikte (angetrunkener Zustand, Telefonieren mit Mobiltelefon, Überschreiten der Höchstgeschwindigkeit), zweimal Delikte im Zusammenhang mit der Führung eines Gastgewerbe, einmal Sachbeschädigung und zweimal Delikte im Zusammenhang mit dem Betäubungsmittelgesetz. Die zwei ersten Straferkenntnisse liegen 20 Jahre zurück, weitere vier liegen bereits mehr als zehn Jahre zurück. Seit 2012 hat der Beschwerdeführer viermal gegen das Strassenverkehrsrecht und einmal gegen das Betäubungsmittelgesetz verstossen. Während die längerfristige Freiheitsstrafe von 18 Monaten im Jahre 2009 keine Verwarnung auslöste, ist der Beschwerdeführer viermal vor 2009 und zuletzt im Jahre 2014 verwarnt worden. Wird aus Gründen der Verhältnismässigkeit zunächst nur eine Verwarnung ausgesprochen, kann grundsätzlich im Falle weiterer, auch geringfügiger Delinquenz auf den vormalig gesetzten Widerrufsgrund zurückgekommen und dieser zum Anlass genommen werden, eine aufenthaltsbeendende Massnahme anzuordnen (Urteil 2C_884/2016 vom 25. August 2017 E. 2.2 mit Hinweisen). Um als Widerrufsgrund gelten zu können, hat die strafrechtliche Verurteilung jedoch noch genügend aktuell zu sein (Urteile 2C_884/2016 vom 25. August 2017 E. 2.2; 2C_477/2008 vom 24. Februar 2009 E. 3.2.1). Nach welchem Zeitablauf eine strafrechtliche Verurteilung noch genügend Aktualität aufweist, um als Ursache der Beendigung des Aufenthalts einer ausländischen Person gelten zu können, ist im Einzelfall zu entscheiden. Weder den Bestimmungen über die Entfernung von Einträgen im Strafregister ( Art. 369 StGB ) noch denjenigen über das ausländerrechtliche Einreiseverbot (Art. 67 AuG) lassen sich dafür verbindliche Vorgaben entnehmen (Urteil 2C_884/2016 vom 25. August 2017 E. 2.2).</w:t>
      </w:r>
    </w:p>
    <w:p>
      <w:r>
        <w:rPr>
          <w:b/>
        </w:rPr>
        <w:t>E. 2.4.3</w:t>
      </w:r>
    </w:p>
    <w:p>
      <w:r>
        <w:t>Im Urteil 2C_884/2016 vom 25. August 2017 (siehe auch Urteil 2C_85/2017, 2C_862/2017 vom 21. Januar 2019 E. 3.4) hat das Bundesgericht ausgeführt, dass sich ein Widerruf der Niederlassungsbewilligung nicht auf den Widerrufsgrund von Art. 63 Abs. 1 lit. a in Verbindung mit Art. 62 lit. b AuG stützen könne, wenn die Straftat, welche mit einer längerfristigen Freiheitsstrafe (30 Monate) nach Art. 62 Abs. 1 lit. b AuG bestraft wurde, fünfzehn Jahre zuvor verübt wurde. Es fehle an der Aktualität. Deshalb kann im vorliegenden Fall ohne Weiteres davon ausgegangen werden, dass die geringfügigen strafrechtlichen Verfehlungen bis zum Jahre 2006 für den Widerrufsgrund von Art. 63 Abs. 1 lit b AIG nicht zu berücksichtigen sind. Das Straferkenntnis im Jahre 2009 basiert auf im Jahre 2007 begangenen Straftaten. Das deliktische Verhalten liegt somit ebenfalls bereits rund 12 Jahre zurück. Die Aktualität ist daher sehr gering. Die danach ergangenen (ab 2012) und zu berücksichtigenden Straferkenntnisse betreffen keine besonders hochwertigen Rechtsgüter bzw. sind untergeordneter Natur. Auch ist die Summierung und Anzahl der fünf geringfügigen Verstösse seit dem Jahre 2012 noch nicht derart, dass damit nach der bundesgerichtlichen Rechtsprechung (zur Kasuistik siehe Urteile 2C_884/2016 vom 25. August 2017 E. 3.1 und 2C_106/2017 vom 22. August 2017 E. 3.3) das Kriterium "in schwerwiegender Weise" erfüllt wird.</w:t>
      </w:r>
    </w:p>
    <w:p>
      <w:r>
        <w:rPr>
          <w:b/>
        </w:rPr>
        <w:t>E. 2.4.4</w:t>
      </w:r>
    </w:p>
    <w:p>
      <w:r>
        <w:t>Dass der Beschwerdeführer Mühe bekunde, sich an die in der Schweiz geltenden Regeln zu halten und seinen Verpflichtungen nachzukommen, zeige sodann, wie die Vorinstanz ausgeführt hat, auch seine hohe Verschuldung. Die Vorinstanz führt zwar, ohne allerdings eine genaue Analyse der Schulden vorgenommen zu haben, auf, wie hoch etwa die Schulden sind, doch geht aus diesen Ausführungen nicht hervor, ob es sich um eine mutwillige Verschuldung handelt, d.h. ob die Verschuldung selbst verschuldet und qualifiziert vorwerfbar ist ( BGE 137 II 297 E. 3.3 S. 304). Dabei wäre es Aufgabe der Behörde abzuklären, ob Mutwilligkeit vorliegt (Urteil 2C_138/2018 vom 16. Januar 2019 E. 3.2). Kommt hinzu, dass das Migrationsamt in der Verwarnung von 2014 lediglich auf sein strafrechtliches Verhalten Bezug nimmt und mit keinem Wort die Verschuldenssituation erwähnt.</w:t>
      </w:r>
    </w:p>
    <w:p>
      <w:r>
        <w:rPr>
          <w:b/>
        </w:rPr>
        <w:t>E. 3</w:t>
      </w:r>
    </w:p>
    <w:p>
      <w:r>
        <w:t>Zusammenfassend ergibt sich, dass der Beschwerdeführer mit seinem strafrechtlichen Verhalten den Widerrufsgrund von Art. 63 Abs. 1 lit. b AIG nicht erfüllt und eine Mutwilligkeit seiner Verschuldung nicht nachgewiesen ist, weshalb der genannte Widerrufsgrund auch aus diesem Grund nicht gegeben ist. Die Beschwerde ist begründet und gutzuheissen. Bei diesem Verfahrensausgang sind keine Gerichtskosten aufzuerlegen ( Art. 66 Abs. 3 BGG ). Der Kanton Zürich hat dem Beschwerdeführer für das bundesgerichtliche Verfahren eine Parteientschädigung zu entrichten. Die Sache wird zur Neuverlegung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