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408/2016 vom 19. Juni 2017</w:t>
      </w:r>
    </w:p>
    <w:p>
      <w:r>
        <w:t>Bundesgericht, 2017-06-19, DE</w:t>
      </w:r>
    </w:p>
    <w:p>
      <w:r>
        <w:rPr>
          <w:b/>
        </w:rPr>
        <w:t xml:space="preserve">Quelle: </w:t>
      </w:r>
      <w:r>
        <w:t>https://mcp.opencaselaw.ch/entscheid/bger_2C_408_2016</w:t>
      </w:r>
    </w:p>
    <w:p>
      <w:r>
        <w:t>FR: TF 2C 408/2016 du 19 juin 2017</w:t>
      </w:r>
    </w:p>
    <w:p>
      <w:r>
        <w:t>IT: TF 2C 408/2016 del 19 giugno 2017</w:t>
      </w:r>
    </w:p>
    <w:p>
      <w:pPr>
        <w:pStyle w:val="Heading2"/>
      </w:pPr>
      <w:r>
        <w:t>Regeste</w:t>
      </w:r>
    </w:p>
    <w:p>
      <w:r>
        <w:t>Direkte Bundessteuer 2009, Kantons- und Gemeindesteuern 2009 | Öffentliche Finanzen &amp; Abgaberecht</w:t>
      </w:r>
    </w:p>
    <w:p>
      <w:pPr>
        <w:pStyle w:val="Heading2"/>
      </w:pPr>
      <w:r>
        <w:t>Erwägungen</w:t>
      </w:r>
    </w:p>
    <w:p>
      <w:r>
        <w:rPr>
          <w:b/>
        </w:rPr>
        <w:t>E. 1.1</w:t>
      </w:r>
    </w:p>
    <w:p>
      <w:r>
        <w:t>Gegen den kantonal letztinstanzlichen Endentscheid der Steuerrekurskommission des Kantons Wallis betreffend Nichteintreten auf eine Einsprache gegen die Veranlagung der Kantons-, Gemeinde- und direkten Bundessteuer 2009 ist die Beschwerde in öffentlich-rechtlichen Angelegenheiten zulässig (vgl. Art. 82 lit. a, Art. 86 Abs. 1 lit. d, Art. 90 BGG ). Die Steuerrekurskommission des Kantons Wallis erfüllt die Anforderungen an ein oberes kantonales Gericht im Sinne von Art. 86 Abs. 2 BGG (Urteile 2C_186/2014, 2C_187/2014 vom 4. September 2014 E. 1.1; 2C_516/2013 vom 4. Februar 2014 E. 1.2 mit Hinweisen). Die Beschwerdeführerin, die am vorinstanzlichen Verfahren teilgenommen hat und mit ihren Anträgen unterlegen ist, ist zur Beschwerdeführung legitimiert ( Art. 89 Abs. 1 BGG ). Auf die Beschwerde ist einzutreten.</w:t>
      </w:r>
    </w:p>
    <w:p>
      <w:r>
        <w:rPr>
          <w:b/>
        </w:rPr>
        <w:t>E. 1.2</w:t>
      </w:r>
    </w:p>
    <w:p>
      <w:r>
        <w:t>Weil es sich bei der direkten Bundessteuer und der Staatssteuer um nach Steuerhoheit und Verfahren zu differenzierende Steuern handelt ( BGE 135 II 260 E. 1.3.1 S. 262), und die Beschwerdeführerin gegen den beide Steuerarten betreffenden Endentscheid zwei Beschwerden in einer Rechtsschrift eingereicht hat, hat das Bundesgericht zwei Dossiers angelegt. Die beiden auf demselben Sachverhalt beruhenden und dieselben Rechtsfragen aufwerfenden Verfahren sind zu vereinigen und die zwei Beschwerden in einem einzigen Urteil zu erledigen ( Art. 71 BGG in Verbindung mit Art. 24 BZP ; BGE 131 V 59 E. 1 S. 60 f. mit Hinweis, vgl. auch Urteile 2C_182/2014, 2C_183/2014 vom 26. Juli 2014 E. 1).</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141 IV 369 E. 6.3 S. 375; 139 II 404 E. 10.1 S. 445 mit Hinweisen).</w:t>
      </w:r>
    </w:p>
    <w:p>
      <w:r>
        <w:rPr>
          <w:b/>
        </w:rPr>
        <w:t>E. 2</w:t>
      </w:r>
    </w:p>
    <w:p>
      <w:r>
        <w:t>Die Beschwerdeführerin rügt, die Vorinstanz habe den Sachverhalt willkürlich festgestellt. Sie habe die Veranlagungsverfügung betreffend die direkte Bundessteuer sowie die Staats- und Gemeindesteuer der Steuerperiode 2009 nie erhalten. Indem die Vorinstanz einerseits verbindlich festgehalten habe, dass die Steuerverwaltung die Zustellung mangels eingeschriebener Sendung nicht nachweisen könne, andererseits jedoch aus Indizien auf eine Zustellung geschlossen habe, habe sie sich in Widersprüche verwickelt und den Sachverhalt offensichtlich unrichtig festgestellt. Auf Grund dessen, dass die Veranlagungsverfügung 2009 nicht zugestellt worden sei, habe auch keine Rechtsmittelfrist für die Einsprache ausgelöst werden können. Selbst bei gegenteiliger Annahme müsste davon ausgegangen werden, dass die Veranlagungsverfügung 2009 wegen Völkerrechtswidrigkeit der direkten postalischen Zustellung ins Ausland nichtig und damit unbeachtlich sei. Auch in dieser Konstellation habe keine Rechtsmittelfrist ausgelöst werden können.</w:t>
      </w:r>
    </w:p>
    <w:p>
      <w:r>
        <w:rPr>
          <w:b/>
        </w:rPr>
        <w:t>E. 2.1</w:t>
      </w:r>
    </w:p>
    <w:p>
      <w:r>
        <w:t>Die Eröffnung ist eine einseitige empfangs-, aber nicht annahmebedürftige Rechtshandlung, welche dem Empfänger die Kenntnisnahme der Verfügung ermöglicht (UHLMANN/SCHILLING-SCHWANK, in: Praxiskommentar zum Bundesgesetz vom 20. Dezember 1968 über das Verwaltungsverfahren [VwVG], 2. Aufl. 2016, N. 5 zu Art. 34 VwVG ; MARTIN ZWEIFEL, in: Kommentar zum Schweizerischen Steuerrecht, Bd. I/1: Bundesgesetz über die Harmonisierung der direkten Steuern der Kantone und Gemeinden, N. 27 zu Art. 41 StHG ). Auszugehen ist davon, dass ein Urteil oder eine Verfügung erst mit der Mitteilung an die Parteien rechtliche Existenz erlangt. Vor seiner Mitteilung ist es ein Nichturteil , was von Amtes wegen zu berücksichtigen ist ( BGE 142 II 411 E. 4.2 S. 413 ; 122 I 97 E. 3a/bb S. 99). Dementsprechend vermögen auch Urteile oder Verfügungen, die den Parteien nie mitgeteilt worden sind, keinerlei Rechtswirksamkeit zu entfalten ( BGE 142 II 411 E. 4.2 S. 413; LORENZ KNEUBÜHLER, Kommentar zum Bundesgesetz zum Verwaltungsverfahren, 2008, N. 1 zu Art. 34 VwVG ; UHLMANN/SCHILLING-SCHWANK, a.a.O., N. 3; YVES DONZALLAZ, La notification en droit interne suisse, 2002, N. 141). Diese eigentliche Nichtzustellung ist abzugrenzen von der zwar erfolgten, aber an Eröffnungsmängeln leidenden Zustellung ("notification irrégulière"; grundlegend BGE 122 I 97 E. 3a/bb S. 99). Unter dem Gesichtspunkt des Grundsatzes, dass einer Partei aus einer fehlerhaften Eröffnung keinerlei Nachteil erwachsen soll, kann grundsätzlich auch eine zwar erfolgte, aber mangelhafte Zustellung ihren Zweck erreichen, und setzt der auch in diesem prozessualen Bereich geltende Grundsatz von Treu und Glauben der Möglichkeit, sich auf Formmängel zu berufen, Schranken ( BGE 122 I 97 E. 3a/aa S. 99; 111 V 149 E. 4c S. 150; 105 Ia 307 E. 4 S. 313, bestätigt in den Urteilen 2C_827/2015, 2C_828/2015 vom 3. Juni 2016 E. 3.4, nicht publiziert in BGE 142 II 411 ).</w:t>
      </w:r>
    </w:p>
    <w:p>
      <w:r>
        <w:rPr>
          <w:b/>
        </w:rPr>
        <w:t>E. 2.2</w:t>
      </w:r>
    </w:p>
    <w:p>
      <w:r>
        <w:t>Im Zusammenhang mit Verfahrensbeteiligten mit Sitz im Ausland ist vom völkergewohnheitsrechtlichen Grundsatz des Territorialitätsprinzips auszugehen, was die Ausübung von Hoheitsgewalt auf einem Staatsgebiet durch einen anderen Staat ohne dessen Zustimmung ausschliesst ( BGE 103 III 1 E. 2b S. 4; MÜLLER/WILDHABER, Praxis des Völkerrechts, 3. Aufl. 2000, S. 414). Nach weit verbreiteter, insbesondere in der Schweiz vorherrschender Ansicht stellt bereits die Zustellung eines durch ein Gericht versandten Schriftstückes eine Ausübung von Hoheitsgewalt dar, weshalb die Zustellung solcher Schriftstücke in einen ausländischen Staat ohne dessen Mitwirkung (insbesondere nach schweizerischem Verständnis) als eine Verletzung dessen Souveränität qualifiziert wird ( BGE 142 III 355 E. 3.3.3 S. 358; Urteile 2C_827/2015, 2C_828/2015 vom 3. Juni 2016 E. 3.2, nicht publ. in B GE 142 II 411; G ERHARD WALTER/TANJA DOMEJ, Internationales Zivilprozessrecht in der Schweiz, 5. Aufl. 2012, S. 358 f.; Bericht des Bundesamtes für Justiz vom 14. März 2011 zu Rechtsfragen im Zusammenhang mit der Zusammenarbeit mit ausländischen Behörden [Amtshilfe, Rechtshilfe, Souveränitätsschutz; Bericht BJ 2011], S. 43 f.). Durch Zustimmung, insbesondere in Form zwischenstaatlicher Vereinbarungen, kann der betreffende Staat sein Recht auf ausschliessliche Ausübung staatlicher Hoheitsgewalt auf seinem Staatsgebiet einschränken (Bericht BJ 2011 S. 19), weshalb die Zustellung gerichtlicher oder aussergerichtlicher Schriftstücke denn auch Gegenstand zahlreicher staatsvertraglicher Regelungen bildet (so etwa das [von der Schweiz unterzeichnete, aber nicht ratifizierte] Europäische Übereinkommen vom 24. November 1977 über die Zustellung von Schriftstücken in Verwaltungssachen im Ausland, vgl. dazu Erläuternder Bericht zum Entwurf für ein Bundesgesetz über die Zusammenarbeit mit ausländischen Behörden und über den Schutz der schweizerischen Souveränität sowie zum Entwurf über einen Bundesbeschluss über die Genehmigung von zwei Europäischen Übereinkommen in Verwaltungssachen, S. 22, S. 47 [Erläuternder Bericht Souveränität]; https://www.bj.admin.ch/bj/de/home/aktuell/news/2013/ref_2013-02-20.html; für eine aktuelle Übersicht über multi- oder bilaterale Abkommen der Schweiz betreffend direkte Postzustellung von Schriftstücken siehe Botschaft vom 5. Juni 2015 zur Genehmigung des Übereinkommens des Europarats und der OECD über die gegenseitige Amtshilfe in Steuersachen und zu seiner Umsetzung [Änderung des Steueramtshilfegesetzes], BBl 2015 5585 ff., 5611 [Fn. 22]; Elfter Bericht über die Schweiz und die Konventionen des Europarates vom 24. August 2016, BBl 7059 f.). Eine direkte postalische Zustellung von Schriftstücken mit einem über Hoheitsgewalt verfügenden Absender , die nicht auf einer völkerrechtlichen Vertragsgrundlage beruht oder dem innerstaatlichen Recht des Empfängerstaates zuwiderläuft, ist grundsätzlich völkerrechtswidrig und begründet demnach im Lichte des Völkerrechts einen Eröffnungsmangel (Urteile 2C_827/2015, 2C_828/2015 vom 3. Juni 2016 E. 3.2, nicht publ. in BGE 142 II 411 ; Erläuternder Bericht Souveränität, S. 48 f.; Bericht BJ 2011, S. 43 f.).</w:t>
      </w:r>
    </w:p>
    <w:p>
      <w:r>
        <w:rPr>
          <w:b/>
        </w:rPr>
        <w:t>E. 3.1</w:t>
      </w:r>
    </w:p>
    <w:p>
      <w:r>
        <w:t>In tatsächlicher Hinsicht ist im vorliegenden Verfahren davon auszugehen, dass der Beschwerdeführerin die Veranlagungsverfügung für die direkte Bundessteuer und die Staats- und Gemeindesteuer der Steuerperiode 2009 der Beschwerdeführerin direkt postalisch zugestellt worden ist. Die vorinstanzliche Sachverhaltsfeststellung, wonach die gesamthaften Umstände - belegter Versand der Veranlagungsverfügung 2009 an die angegebene Zustelladresse in Linz (Österreich), Bezahlung des ausstehenden Steuerbetrags für die direkte Bundessteuer und die Staatssteuer 2009, fehlende Beanstandungen vor Mandatierung eines neuen Rechtsvertreters - darauf schliessen lassen würden, dass die Veranlagungsverfügung 2009 der österreichischen Vertreterin der Beschwerdeführerin tatsächlich zugegangen sei, ist nicht zu beanstanden. Die vorinstanzliche Beweiswürdigung wird durch das Bundesgericht nur auf Willkür ( Art. 9 BV ) überprüft, wovon auszugehen ist, wenn das Sachgericht offensichtlich unhaltbare Schlüsse zieht, erhebliche Beweise übersieht oder solche willkürlich ausser Acht lässt (vgl. BGE 142 II 433 E. 4.4 S. 444, mit zahlreichen Hinweisen). Die im vorinstanzlichen Urteil im Sachverhalt aufzufindende Darstellung, wonach die Zustellung deswegen, weil sie nicht per Einschreiben erfolgte, nicht bewiesen werden könne (angefochtenes Urteil, Sachverhalt Ziff. 3 S. 2), ist nach Treu und Glauben ( Art. 5 Abs. 3 BV ) dahingehend zu verstehen, dass sich die Zustellung mangels eingeschriebener Sendung einem direkten Beweis entzieht. Damit setzt sich die Vorinstanz nicht in Widerspruch zu ihren Erwägungen über die Beweiswürdigung (angefochtenes Urteil, E. 2b S. 8 f.), in welchen sie gestützt auf zahlreiche, unbestritten gebliebene Indizien in tatsächlicher Hinsicht den Schluss zieht , die Zustellung sei an die mandatierte österreichische Vertreterin erfolgt. Die vorinstanzliche Beweiswürdigung ist in sich schlüssig und enthält keine Widersprüche, weshalb sie nicht als willkürlich qualifiziert werden. Nicht weiter einzugehen ( Art. 99 Abs. 1 BGG ) ist auf das im bundesgerichtlichen Verfahren (soweit ersichtlich) erstmals vorgetragene, nicht belegte Sachverhaltselement, die Zustellung der Veranlagungsverfügung an die mandatierte Vertreterin in Linz habe schon deswegen nicht erfolgen können, weil diese zum massgeblichen Zeitpunkt bereits von der Beschwerdeführerin übernommen worden sei. Dem bundesgerichtlichen Beschwerdeverfahren ist vielmehr sachverhaltsmässig eine Zustellung der Veranlagungsverfügung 2009 an die mandatierte Rechtsvertreterin der Beschwerdeführerin zu Grunde zu legen ( Art. 105 Abs. 1 BGG ).</w:t>
      </w:r>
    </w:p>
    <w:p>
      <w:r>
        <w:rPr>
          <w:b/>
        </w:rPr>
        <w:t>E. 3.2</w:t>
      </w:r>
    </w:p>
    <w:p>
      <w:r>
        <w:t>Die direkte postalische Zustellung der Veranlagungsverfügung 2009 an die Vertreterin in Österreich ohne staatsvertragliche Grundlage ist allerdings in Verletzung der Gebietshoheit dieses Staates erfolgt. Zwar hat dies nicht zur Folge, dass die Veranlagungsverfügung 2009 als eigentliche Nichtverfügung zu betrachten wäre (oben, E. 2.1), doch liegt immerhin ein Eröffnungsmangel vor, auf den sich die Beschwerdeführerin grundsätzlich berufen kann (oben, E. 2.2). Welche Rechtsfolgen damit verbunden sind, ist jeweils von den konkreten Umständen abhängig (für eine Übersicht über die bundesgerichtliche Praxis vgl. Urteile 2C_827/2015, 2C_828/2015 vom 3. Juni 2016 E. 3.3, nicht publ. in BGE 142 II 411 ). Hier fällt in Betracht, dass es die Beschwerdeführerin selbst war, welche um die direkte postalische Zustellung ins Ausland nachgesucht hat. Die Steuerverwaltung hätte diesem Begehren nicht stattgeben dürfen. Aber eine direkte postalische Zustellung zu verlangen, die Verfügung entgegen zu nehmen, sich dann aber später auf diesen Eröffnungsmangel zu berufen, kommt einem venire contra factum proprium gleich und kann unter dem Gesichtspunkt von Treu und Glauben keinen Rechtsschutz finden (Urteil 2C_334/2014 vom 9. Juli 2015 E. 2.5.1). Die Steuerverwaltung und die Steuerrekurskommission durften daher die rund ein Jahr später erhobene Einsprache als verspätet erachten. Die Beschwerde erweist sich deshalb als unbegründet. Sie ist abzuweisen.</w:t>
      </w:r>
    </w:p>
    <w:p>
      <w:r>
        <w:rPr>
          <w:b/>
        </w:rPr>
        <w:t>E. 4</w:t>
      </w:r>
    </w:p>
    <w:p>
      <w:r>
        <w:t>Bei diesem Verfahrensausgang sind die Gerichtskosten der Beschwerdeführerin aufzuerlegen ( Art. 66 Abs. 1 BGG ). Parteientschädigungen werden nicht gesprochen (Art. 68 Abs. 1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