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2C_407/2016 vom 5. Oktober 2016</w:t>
      </w:r>
    </w:p>
    <w:p>
      <w:r>
        <w:t>Bundesgericht, 2016-10-05, DE</w:t>
      </w:r>
    </w:p>
    <w:p>
      <w:r>
        <w:rPr>
          <w:b/>
        </w:rPr>
        <w:t xml:space="preserve">Quelle: </w:t>
      </w:r>
      <w:r>
        <w:t>https://mcp.opencaselaw.ch/entscheid/bger_2C_407_2016</w:t>
      </w:r>
    </w:p>
    <w:p>
      <w:r>
        <w:t>FR: TF 2C_407/2016 du 5 octobre 2016</w:t>
      </w:r>
    </w:p>
    <w:p>
      <w:r>
        <w:t>IT: TF 2C_407/2016 del 5 ottobre 2016</w:t>
      </w:r>
    </w:p>
    <w:p>
      <w:pPr>
        <w:pStyle w:val="Heading2"/>
      </w:pPr>
      <w:r>
        <w:t>Erwägungen</w:t>
      </w:r>
    </w:p>
    <w:p>
      <w:r>
        <w:rPr>
          <w:b/>
        </w:rPr>
        <w:t>E. 1</w:t>
      </w:r>
    </w:p>
    <w:p>
      <w:r>
        <w:t>Im öffentlichen Verfahrensrecht sind Rechtsbegehren nur zulässig, wenn die beschwerdeführende Partei über ein schutzwürdiges Interesse verfügt ( Art. 89 Abs. 1 lit. c BGG ; Art. 48 Abs. 1 lit. c VwVG ). Ein solches liegt vor, wenn die tatsächliche oder rechtliche Situation dieser Partei durch den Ausgang des Verfahrens beeinflusst werden kann ( BGE 141 II 14 E. 4.5 S. 30; 136 II 281 E. 2.2 S. 284). Es muss nicht nur bei Beschwerdeeinreichung gegeben, sondern auch noch im Urteilszeitpunkt aktuell und praktisch sein. Fällt es im Laufe des Beschwerdeverfahrens dahin, wird die Sache als erledigt erklärt und abgeschrieben ( BGE 139 I 206 E. 1.1 S. 208 ; 137 I 23 E. 1.3.1 S. 24 f.).</w:t>
      </w:r>
    </w:p>
    <w:p>
      <w:r>
        <w:t>In Einklang mit dieser verfahrensrechtlichen Ausgangslage hat das Bundesverwaltungsgericht das gegen die Einsetzung einer Untersuchungsbeauftragten gerichtete Verfahren abgeschrieben, nachdem die FINMA den Endentscheid erlassen und die Liquidation der Beschwerdeführerin angeordnet hatte.</w:t>
      </w:r>
    </w:p>
    <w:p>
      <w:r>
        <w:rPr>
          <w:b/>
        </w:rPr>
        <w:t>E. 2</w:t>
      </w:r>
    </w:p>
    <w:p>
      <w:r>
        <w:t>Die Beschwerdeführerin wendet ein, dass die Einsetzung der Untersuchungsbeauftragten erfolgt sei nicht nur im Hinblick auf die Bewilligungspflichtigkeit der Effektenhandelstätigkeit, sondern auch, weil nach Meinung der FINMA marktmissbräuchliches Verhalten vorgelegen habe. Dieser letztere Punkt sei aber nicht mehr Gegenstand des Endentscheids der FINMA gewesen. Dass er in anderen Verfahren, etwa gegen die Wertschriftenhändler, noch geprüft werde, ändere nichts daran, dass die Beschwerdeführerin ein eigenes Interesse daran habe, überprüfen zu lassen, ob der Vorwurf marktmissbräuchlichen Verhaltens zu Recht erhoben worden sei.</w:t>
      </w:r>
    </w:p>
    <w:p>
      <w:r>
        <w:t>Der Auffassung der Beschwerdeführerin kann nicht beigepflichtet werden. Sie übersieht, dass beide Gesichtspunkte, Bewilligungspflicht des Effektenhandels wie auch marktmissbräuchliches Verhalten, die Einleitung des Verfahrens rechtfertigen konnten, für die Anordnung der Liquidation nach Auffassung der FINMA aber genügt, dass die Effektenhandelstätigkeit nicht bewilligungsfähig war. Dann aber spielt keine Rolle, ob darüber hinaus marktmissbräuchliches Verhalten vorlag. Jedenfalls würde es an der angeordneten Liquidation der Beschwerdeführerin nichts ändern, wenn das Bundesverwaltungsgericht feststellen müsste, dass das Handelsverhalten der Beschwerdeführerin rechtmässig war. So oder anders bliebe es bei der Liquidation, vorausgesetzt selbstverständlich, dass eine bewilligungspflichtige Tätigkeit vorlag, was im noch hängigen Verfahren des Bundesverwaltungsgerichts gegen den Endentscheid der FINMA zu prüfen ist.</w:t>
      </w:r>
    </w:p>
    <w:p>
      <w:r>
        <w:rPr>
          <w:b/>
        </w:rPr>
        <w:t>E. 3</w:t>
      </w:r>
    </w:p>
    <w:p>
      <w:r>
        <w:t>Die Beschwerdeführerin beruft sich auf die allgemeinen Verfahrensgarantien ( Art. 29 BV ), die Rechtsweggarantie ( Art. 29a BV ) und auf Art. 6 Ziff. 1 EMRK und macht gestützt hierauf geltend, dass sie Anspruch darauf habe, gerichtlich beurteilen zu lassen, ob ihr bei Einleitung des Verfahrens durch die FINMA zu Recht Marktmissbrauch vorgeworfen worden sei.</w:t>
      </w:r>
    </w:p>
    <w:p>
      <w:r>
        <w:t>Indessen begründet nicht jede Amtshandlung, welche die betroffene   Person missbilligen mag, unter dem Gesichtspunkt der genannten verfassungsrechtlichen Garantien bereits einen Anspruch auf richterliche Beurteilung; vielmehr bedarf es einer individuellen, schützenswerten Rechtsposition ( BGE 139 II 185 E. 12.4 S. 218 ; 136 I 323 E. 4.3 S. 328 f.). Eine solche liegt gerade nicht vor, wenn ein aktuelles und praktisches Interesse an der Streitbeurteilung nicht (mehr) gegeben ist.</w:t>
      </w:r>
    </w:p>
    <w:p>
      <w:r>
        <w:rPr>
          <w:b/>
        </w:rPr>
        <w:t>E. 4</w:t>
      </w:r>
    </w:p>
    <w:p>
      <w:r>
        <w:t>Die Beschwerde erweist sich damit als unbegründet. Sie ist abzuweisen.</w:t>
      </w:r>
    </w:p>
    <w:p>
      <w:r>
        <w:t>Entsprechend diesem Verfahrensausgang wird die Beschwerdeführerin kostenpflichtig ( Art. 66 Abs. 1 BGG ). Eine Parteientschädigung ist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