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402/2016 vom 9. Mai 2016</w:t>
      </w:r>
    </w:p>
    <w:p>
      <w:r>
        <w:t>Bundesgericht, 2016-05-09, DE</w:t>
      </w:r>
    </w:p>
    <w:p>
      <w:r>
        <w:rPr>
          <w:b/>
        </w:rPr>
        <w:t xml:space="preserve">Quelle: </w:t>
      </w:r>
      <w:r>
        <w:t>https://mcp.opencaselaw.ch/entscheid/bger_2C_402_2016</w:t>
      </w:r>
    </w:p>
    <w:p>
      <w:r>
        <w:t>FR: TF 2C 402/2016 du 9 mai 2016</w:t>
      </w:r>
    </w:p>
    <w:p>
      <w:r>
        <w:t>IT: TF 2C 402/2016 del 9 maggio 2016</w:t>
      </w:r>
    </w:p>
    <w:p>
      <w:pPr>
        <w:pStyle w:val="Heading2"/>
      </w:pPr>
      <w:r>
        <w:t>Regeste</w:t>
      </w:r>
    </w:p>
    <w:p>
      <w:r>
        <w:t>Ausländerrecht | Bürgerrecht und Ausländerrecht</w:t>
      </w:r>
    </w:p>
    <w:p>
      <w:pPr>
        <w:pStyle w:val="Heading2"/>
      </w:pPr>
      <w:r>
        <w:t>Erwägungen</w:t>
      </w:r>
    </w:p>
    <w:p>
      <w:r>
        <w:rPr>
          <w:b/>
        </w:rPr>
        <w:t>E. 1</w:t>
      </w:r>
    </w:p>
    <w:p>
      <w:r>
        <w:t>Der 1960 geborene kosovarische Staatsangehörige A.________ heiratete am 13. Oktober 1992 eine Schweizer Bürgerin und reiste darauf in die Schweiz ein, wo er eine Aufenthaltsbewilligung erhielt. Am 29. Januar 2015 lehnte das Amt für Migration des Kantons Luzern eine weitere Verlängerung der Aufenthaltsbewilligung ab und verfügte die Wegweisung. Die gegen diese Verfügung erhobene Beschwerde an das Justiz- und Sicherheitsdepartement des Kantons Luzern blieb erfolglos, und mit Urteil vom 1. April 2016 wies das Kantonsgericht des Kantons Luzern die Verwaltungsgerichtsbeschwerde gegen den Rechtsmittelentscheid des Departements vom 17. Juni 2015 ab, unter Ansetzung einer neuen Ausreisefrist auf den 31. Mai 2016. Mit Eingabe vom 7. Mai 2016 erhebt die Ehefrau von A.________ beim Bundesgericht Beschwerde in öffentlich-rechtlichen Angelegenheiten gegen das Urteil des Kantonsgerichts. Es ist weder ein Schriftenwechsel noch sind andere Instruktionsmassnahmen angeordnet worden.</w:t>
      </w:r>
    </w:p>
    <w:p>
      <w:r>
        <w:rPr>
          <w:b/>
        </w:rPr>
        <w:t>E. 2</w:t>
      </w:r>
    </w:p>
    <w:p>
      <w:r>
        <w:t>Ob die Eingabe als Beschwerde von A.________ oder von seiner Ehefrau zu betrachten ist und ob letztere zur Beschwerde legitimiert wäre, kann offen bleiben. 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Bei der vorgelegten Rechtsschrift handelt es sich um eine kurze Bittschrift, womit erklärt wird, warum der Beschwerdeführer unbedingt in der Schweiz bleiben will. Weder wird der vom Kantonsgericht festgestellte Sachverhalt (sehr hohe, ohne plausiblen Grund konstant ansteigende Verschuldung; Straffälligkeit; mehrere wirkungslos gebliebene ausländerrechtliche Verwarnungen; keine massgebliche Änderung in Sicht) in Frage gestellt, noch lässt die Eingabe die minimalste Auseinandersetzung mit der vom Kantonsgericht vorgenommenen rechtlichen Würdigung des Sachverhalts im Lichte der einschlägigen rechtlichen Normen (namentlich Art. 63 Abs. 1 lit. c AuG) erkennen. Die Beschwerde enthält offensichtlich keine hinreichende Begründung ( Art. 108 Abs. 1 lit. b BGG ), und es ist darauf mit Entscheid des Abteilungspräsidenten als Einzelrichter im vereinfachten Verfahren nach Art. 108 BGG nicht einzutreten. Die Umstände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