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2C_3/2022 vom 17. Mai 2022</w:t>
      </w:r>
    </w:p>
    <w:p>
      <w:r>
        <w:t>Bundesgericht, 2022-05-17, DE</w:t>
      </w:r>
    </w:p>
    <w:p>
      <w:r>
        <w:rPr>
          <w:b/>
        </w:rPr>
        <w:t xml:space="preserve">Quelle: </w:t>
      </w:r>
      <w:r>
        <w:t>https://mcp.opencaselaw.ch/entscheid/bger_2C_3_2022</w:t>
      </w:r>
    </w:p>
    <w:p>
      <w:r>
        <w:t>FR: TF 2C_3/2022 du 17 mai 2022</w:t>
      </w:r>
    </w:p>
    <w:p>
      <w:r>
        <w:t>IT: TF 2C_3/2022 del 17 maggio 2022</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147 I 333 E. 1; 147 II 300 E. 1; 147 IV 453 E. 1 Ingress).</w:t>
      </w:r>
    </w:p>
    <w:p>
      <w:r>
        <w:rPr>
          <w:b/>
        </w:rPr>
        <w:t>E. 1.2.1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Gegenteils verweist Art. 116 Abs. 4 des Zollgesetzes vom 18. März 2005 (ZG; SR 631.0) auf die allgemeinen Bestimmungen über die Bundesrechtspflege.</w:t>
      </w:r>
    </w:p>
    <w:p>
      <w:r>
        <w:rPr>
          <w:b/>
        </w:rPr>
        <w:t>E. 1.2.2</w:t>
      </w:r>
    </w:p>
    <w:p>
      <w:r>
        <w:t>Das Bundesgericht beurteilt namentlich Streitigkeiten wegen Verletzung von Bundesrecht ( Art. 189 Abs. 1 lit. a BV ; Art. 95 lit. a BGG ). Darunter fällt insbesondere auch das Zollrecht ( Art. 133 BV ). Gegen Entscheide über die Zollveranlagung ist die Beschwerde aber unzulässig, wenn diese auf Grund der Tarifierung oder des Gewichts der Ware erfolgt ( Art. 83 lit. l BGG ). Unzulässigkeit besteht, soweit die "technische" Frage der Tarifierung im Vordergrund steht. Mithin kommt Art. 83 lit. l BGG nur, aber immerhin zum Tragen, wenn strittig ist, ob eine Ware von bestimmter Beschaffenheit unter den einen oder den andern Zolltarifansatz fällt (Hansjörg Seiler, in: Hansjörg Seiler/ Nicolas von Werdt/Andreas Güngerich/Niklaus Oberholzer, Bundesgerichtsgesetz, 2. Aufl. 2015, N. 97 zu Art. 83 BGG ; Florence Aubry Girardin, in: Bernard Corboz/Alain Wurzburger/Pierre Ferrari/Jean-Maurice Frésard/Florence Aubry Girardin [Hrsg.], Commentaire de la LTF, 2. Aufl. 2014, N. 122 zu Art. 83 BGG ). Folglich bleibt die Beschwerde zulässig bei allen anderen (Rechts-) Fragen im Zusammenhang mit Veranlagungen, die auf Tarif oder Gewicht beruhen (Urteile 2C_745/2015 vom 23. Oktober 2017 E. 1.2.1, nicht publ. in: BGE 143 II 646 ; 2C_436/2015 vom 22. Juli 2016 E. 1.2.2, nicht publ. in: BGE 142 II 433 ; ferner 2C_835/2020 vom 2. November 2021 E. 1; 2C_535/2019 vom 23. Juli 2020 E. 1).</w:t>
      </w:r>
    </w:p>
    <w:p>
      <w:r>
        <w:rPr>
          <w:b/>
        </w:rPr>
        <w:t>E. 1.2.3</w:t>
      </w:r>
    </w:p>
    <w:p>
      <w:r>
        <w:t>Im vorliegenden Fall ist keine "technische" Frage der Tarifierung zu klären, sondern eine Rechtsfrage im Zusammenhang mit der angeblichen Präferenzbegünstigung (zur konkreten Fragestellung hinten E. 2.1). Auf die Beschwerde ist daher einzutreten. Dem steht nicht entgegen, dass die Importeurin einen rein kassatorischen Antrag stellt. Auch im Bereich des Abgaberechts hat die beschwerdeführende Person vor Bundesgericht zwar grundsätzlich einen reformatorischen Antrag zu stellen und darf sie sich nicht darauf beschränken, die blosse Aufhebung des angefochtenen Entscheides zu verlangen ( Art. 107 Abs. 2 BGG ; Urteil 2C_994/2016 vom 9. März 2018 E. 1.2, nicht publ. in: BGE 144 II 177 ; BGE 133 II 409 E. 1.4.2). Ein rein kassatorischer Antrag ist hingegen zulässig, wenn etwa eine Nachsteuer- oder Bussenverfügung integral bestritten wird (Urteile 2C_1104/2018 vom 18. Februar 2019 E. 1.6.2; 2C_489/2018 / 2C_490/2018 vom 13. Juli 2018 E. 1.2). Ein derartiger Fall liegt hier vor, ersucht die Importeurin doch um ersatzlose Aufhebung der Nachleistungsverfügungen vom 18. August 2020 (Sachverhalt, lit. C).</w:t>
      </w:r>
    </w:p>
    <w:p>
      <w:r>
        <w:rPr>
          <w:b/>
        </w:rPr>
        <w:t>E. 1.3</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1.5</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1.4). Auf bloss allgemein gehaltene, appellatorische Kritik an einem vorinstanzlichen Entscheid geht das Bundesgericht nicht ein (auch dazu BGE 147 IV 73 E. 4.1.2; 146 IV 114 E. 2.1). Wird die Beschwerde den dargelegten Anforderungen nicht gerecht, bleibt es beim vorinstanzlich festgestellten Sachverhalt ( BGE 140 III 16 E. 1.3.1).</w:t>
      </w:r>
    </w:p>
    <w:p>
      <w:r>
        <w:rPr>
          <w:b/>
        </w:rPr>
        <w:t>E. 2.1</w:t>
      </w:r>
    </w:p>
    <w:p>
      <w:r>
        <w:t>Streitig und zu prüfen ist die bundesrechtliche Rechtsfrage, ob eine präferenzbegünstigte Einfuhrverzollung auch möglich sei, wenn der als zugelassener Empfänger tätig werdende Spediteur erst mit einigem zeitlichem Abstand seit Verbringen der unangemeldeten Ware ins Inland eine Zollanmeldung vornimmt.</w:t>
      </w:r>
    </w:p>
    <w:p>
      <w:r>
        <w:rPr>
          <w:b/>
        </w:rPr>
        <w:t>E. 2.2.1</w:t>
      </w:r>
    </w:p>
    <w:p>
      <w:r>
        <w:t>Formelle Rügen und Sachverhaltsrügen können ungeachtet der materiellen Begründetheit des Rechtsmittels zur Gutheissung der Beschwerde und zur Aufhebung des angefochtenen Entscheids führen, weshalb sie vorab zu behandeln sind (Urteile 2F_5/2022 vom 15. Februar 2022 E. 2.1; 2C_551/2021 vom 24. Januar 2022 E. 2.1; 2C_788/2021 vom 27. Oktober 2021 E. 3.1; 2C_196/2017 vom 21. Februar 2019 E. 3, nicht publ. in: BGE 145 II 49 ). Dementsprechend ist zunächst den Beanstandungen hinsichtlich der vorinstanzlichen Feststellungen nachzugehen. Dabei ist vorauszuschicken, dass diese für das Bundesgericht verbindlich sind, soweit es einer beschwerdeführenden Partei misslingt, deren offensichtliche Unrichtigkeit nachzuweisen (vorne E. 1.5 und 1.4).</w:t>
      </w:r>
    </w:p>
    <w:p>
      <w:r>
        <w:rPr>
          <w:b/>
        </w:rPr>
        <w:t>E. 2.2.2</w:t>
      </w:r>
    </w:p>
    <w:p>
      <w:r>
        <w:t>Die Beschwerdeführenden bringen unter diesem Titel hauptsächlich vor, dass die im Ausland abgeholten Fahrzeuge "direkt zur zuständigen Spediteurin" gefahren worden seien, wo die Einfuhrverzollung "immer bereits am Folgetag des Grenzübertritts" stattgefunden habe. Die Fahrzeuge seien "jeweils unverzüglich und unverändert nach der Einfuhr bei der zugelassenen Empfängerin abgestellt" worden. Die Anmeldung sei erfolgt, "sobald die entsprechenden Zollbehörden wieder geöffnet hatten". Die von der Spediteurin geübte Anmeldepraxis habe der damaligen "Usanz" entsprochen und sei daher für das BAZG verbindlich, zumal "während der gesamten Perioden (...) mehrere Zollkontrollen" stattgefunden hätten.</w:t>
      </w:r>
    </w:p>
    <w:p>
      <w:r>
        <w:rPr>
          <w:b/>
        </w:rPr>
        <w:t>E. 2.2.3</w:t>
      </w:r>
    </w:p>
    <w:p>
      <w:r>
        <w:t>Mit ihrer Schilderung widersprechen die Beschwerdeführenden in den genannten Punkten den vorinstanzlichen Feststellungen. Sie begnügen sich aber mit rein appellatorischer Kritik, indem sie dem angefochtenen Entscheid lediglich ihre eigene Sichtweise entgegenhalten. Weder machen sie geltend, dass die vorinstanzlichen Feststellungen offensichtlich unrichtig seien, noch unternehmen sie überhaupt den Versuch, ihre Vorhalte anhand des Verfassungsrechts zu untermauern. Die Einwände erweisen sich damit von vornherein als unzureichend begründet, weshalb es bei den tatsächlichen Ausführungen zu bleiben hat, welche die Vorinstanz getroffen hat. Bedeutsam ist folglich, dass die Fahrzeuge durchwegs erst nach mehreren Tagen zur Anmeldung gebracht wurden, dass die angebliche Usanz, derzufolge dieses Vorgehen über längere Zeit hingenommen worden sein soll, nicht nachgewiesen wurde und dass es zu keinen nachträglichen Kontrollen seitens des BAZG gekommen ist.</w:t>
      </w:r>
    </w:p>
    <w:p>
      <w:r>
        <w:rPr>
          <w:b/>
        </w:rPr>
        <w:t>E. 2.2.4</w:t>
      </w:r>
    </w:p>
    <w:p>
      <w:r>
        <w:t>Wenn weder eine ständige Veranlagungspraxis des BAZG noch die nachträglichen Kontrollen nachgewiesen sind, fehlen von vornherein die tatsächlichen Umstände, die als Vertrauensgrundlage im Sinne des Vertrauensschutzes dienen könnten ( Art. 9 BV ; BGE 146 I 105 E. 5.1.1; 143 V 95 E. 3.6.2; 143 V 341 E. 5.2.1; 141 V 530 E. 6.2). Auf diese Rüge ist nicht weiter einzugehen.</w:t>
      </w:r>
    </w:p>
    <w:p>
      <w:r>
        <w:rPr>
          <w:b/>
        </w:rPr>
        <w:t>E. 2.3.1</w:t>
      </w:r>
    </w:p>
    <w:p>
      <w:r>
        <w:t>Zu prüfen bleibt damit die Auslegung und Anwendung des massgebenden Rechts. Dem unilateralen Recht zufolge löst die Einfuhr von Waren ins schweizerische Zollgebiet die Zollpflicht aus ( Art. 7 ZG in Verbindung mit dem Zolltarifgesetz vom 9. Oktober 1986 [ZTG; SR 632.10]). Vorbehalten bleiben Zoll- und Steuerbefreiungen, die sich aus besonderen Bestimmungen von Gesetzen und Verordnungen oder Staatsverträgen ergeben ( Art. 2 Abs. 1 und Art. 8 ff. ZG ; Art. 53 des Bundesgesetzes vom 12. Juni 2009 über die Mehrwertsteuer [MWSTG 2009; SR 641.20]). Die Einfuhr von Gegenständen führt zudem zur Einfuhrsteuer (Art. 50 ff. MWSTG 2009; dazu Urteil 2C_372/2021 vom 23. Dezember 2021 E. 3.2) und gegebenenfalls etwa zur Automobilsteuer (Art. 22 ff. des Automobilsteuergesetzes vom 21. Juni 1996 [AStG; SR 641.51]; dazu Urteil 2C_372/2021 vom 23. Dezember 2021 E. 3.1).</w:t>
      </w:r>
    </w:p>
    <w:p>
      <w:r>
        <w:rPr>
          <w:b/>
        </w:rPr>
        <w:t>E. 2.3.2</w:t>
      </w:r>
    </w:p>
    <w:p>
      <w:r>
        <w:t>Zu den Verpflichtungen der zollpflichtigen Person schreibt Art. 21 Abs. 1 ZG folgendes vor: Wer Waren ins Zollgebiet verbringt, verbringen lässt oder sie danach übernimmt, muss sie</w:t>
      </w:r>
    </w:p>
    <w:p>
      <w:r>
        <w:t>unverzüglich und unverändert der nächstgelegenen Zollstelle zuführen oder zuführen lassen (Zuführungspflicht). Die anmeldepflichtige Person muss sodann die der Zollstelle zugeführten, gestellten und summarisch angemeldeten Waren innerhalb der vom BAZG bestimmten Frist zur Veranlagung anmelden und die Begleitdokumente einreichen (Anmeldepflicht ( Art. 25 Abs. 1 ZG ). Die anmeldepflichtige Person hat die ordentliche Anmeldung, die sich an die summarische Anmeldung anschliesst, spätestens am Arbeitstag vorzunehmen, der auf die Gestellung folgt (Zollverordnung des BAZG vom 4. April 2007 [ZV-BAZG; SR 631.013]).</w:t>
      </w:r>
    </w:p>
    <w:p>
      <w:r>
        <w:rPr>
          <w:b/>
        </w:rPr>
        <w:t>E. 2.3.3</w:t>
      </w:r>
    </w:p>
    <w:p>
      <w:r>
        <w:t>Die Einfuhr oder Ausfuhr kann auch in elektronischer Form angemeldet werden ( Art. 28 Abs. 1 lit. a ZG ). Dazu bestehen namentlich die IT-Systeme "e-dec" und "NCTS" ( Art. 6 Abs. 2 lit. a ZV -BAZG; BGE 143 II 646 E. 2.2.3). Das IT-System "NCTS" (Neues Computerisiertes Transitsystem) dient ausschliesslich der Durchführung des gemeinsamen Versandverfahrens nach dem Übereinkommen vom 20. Mai 1987 über ein gemeinsames Versandverfahren (gVV-Übereinkommen; SR 0.631.242.04; Beat König/Christian Maduz, Einführung in das Zollrecht, 2021, Rz. 135 ff.; Reginald Derks, in: Komm. ZG, N. 33 zu Art. 49 ZG ; Remo Arpagaus, Zollrecht, 2. Aufl. 2007, Rz. 720 und 771 ff.). Die Zollanmeldung bildet die Grundlage der Zollveranlagung ( Art. 18 Abs. 1 ZG ; Botschaft vom 15. Dezember 2003 über ein neues Zollgesetz [nachfolgend: Botschaft ZG], BBl 2004 567 ff., insb. Ziff. 2.1.2.2 zu Art. 18 E-ZG). Sie erscheint zum einen als Wissenserklärung ( Art. 25 Abs. 1 ZG ); zum andern stellt sie sich als Willenserklärung dar (vgl. Art. 28 Abs. 1 lit. d ZG ; Botschaft ZG, Ziff. 2.1.2.2 zu Art. 18 E-ZG; BGE 143 II 646 E. 2.1).</w:t>
      </w:r>
    </w:p>
    <w:p>
      <w:r>
        <w:rPr>
          <w:b/>
        </w:rPr>
        <w:t>E. 2.3.4</w:t>
      </w:r>
    </w:p>
    <w:p>
      <w:r>
        <w:t>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ZG, a.a.O., Ziff. 2.2.4 vor E-Art. 32 ff.). Aufgrund des Zusammenwirkens des BAZG und der zollpflichtigen Person erweist das zollrechtliche Veranlagungsverfahren sich als gemischte Veranlagung (Michael Beusch, in: Komm. ZG, N. 1 zu Art. 85 ZG ; BGE 143 II 646 E. 2.2.1).</w:t>
      </w:r>
    </w:p>
    <w:p>
      <w:r>
        <w:rPr>
          <w:b/>
        </w:rPr>
        <w:t>E. 2.3.5</w:t>
      </w:r>
    </w:p>
    <w:p>
      <w:r>
        <w:t>Der Bundesrat kann Vereinfachungen im Zollveranlagungsverfahren vorsehen und insbesondere den am Veranlagungsverfahren beteiligten Personen Aufgaben übertragen, die an sich dem BAZG obliegen ( Art. 42 Abs. 1 lit. d ZG ; zu den Vereinfachungen insb. Arpagaus, a.a.O., Rz. 725 ff.). Am vereinfachten Verfahren für Versand und/oder Empfang sind entweder der zugelassene Versender oder der zugelassene Empfänger beteiligt (Art. 100 ff. der Zollverordnung vom 1. November 2006 [ZV; SR 631.01]). Als zugelassener Empfänger wird eine Person bezeichnet, die vom BAZG ermächtigt ist, Waren direkt an ihrem Domizil oder an zugelassenen Orten zu empfangen, ohne dass die Waren der Bestimmungszollstelle zugeführt werden müssen ( Art. 101 ZV ). Die Eigenschaft als zugelassener Empfänger setzt eine Bewilligung seitens des BAZG voraus ( Art. 103 ZV ). Der zugelassene Empfänger hat die Zollanmeldung elektronisch vorzunehmen ( Art. 105 ZV ).</w:t>
      </w:r>
    </w:p>
    <w:p>
      <w:r>
        <w:rPr>
          <w:b/>
        </w:rPr>
        <w:t>E. 2.3.6</w:t>
      </w:r>
    </w:p>
    <w:p>
      <w:r>
        <w:t>Das Verfahren des zugelassenen Empfangs findet Anwendung auf Waren, die dem zugelassenen Empfänger "im</w:t>
      </w:r>
    </w:p>
    <w:p>
      <w:r>
        <w:t>Rahmen eines Transitverfahrens zugeführt werden" ( Art. 109 ZV ; Arpagaus, a.a.O., Rz. 725 ff.; zum Verfahren insb. Patrick Raedersdorf, in: Komm. ZG, N. 6 ff. zu Art. 42 ZG ). An der Grenze erfolgt lediglich eine Transitveranlagung (König/Maduz, a.a.O., Rz. 162). Das Transitverfahren gemäss Art. 49 ZG dient dazu, die Beförderung von ausländischen Waren ( Art. 6 lit. d ZG ) - also Waren, die sich nicht im zollrechtlich freien Verkehr befinden und somit unter Zollüberwachung stehen ( Art. 23 Abs. 1 ZG ) - im Zollinland zu ermöglichen (Urteil 4A_157/2014 vom 26. August 2014 E. 3.3.1; Derks, in: Komm. ZG, N. 5 zu Art. 49 ZG ; König/Maduz, a.a.O., Rz. 172 und 175).</w:t>
      </w:r>
    </w:p>
    <w:p>
      <w:r>
        <w:rPr>
          <w:b/>
        </w:rPr>
        <w:t>E. 3.1</w:t>
      </w:r>
    </w:p>
    <w:p>
      <w:r>
        <w:t>Nach den für das Bundesgericht verbindlichen Feststellungen der Vorinstanz ( Art. 105 Abs. 1 BGG ; vorne E. 1.5 und E. 2.2) hat die durch ihre Spediteurin handelnde Importeurin die Anmeldung zur Überführung in den zollrechtlich freien Verkehr jeweils "erst mehrere Tage nach dem jeweiligen Grenzübertritt und der Weiterfahrt an das Domizil" vorgenommen (Sachverhalt, lit. B.b). Darüber hinaus hat die Vorinstanz festgehalten, dass es zu keiner Anmeldung zum Transitverfahren gekommen sei (Sachverhalt, lit. C und D.b).</w:t>
      </w:r>
    </w:p>
    <w:p>
      <w:r>
        <w:rPr>
          <w:b/>
        </w:rPr>
        <w:t>E. 3.2.1</w:t>
      </w:r>
    </w:p>
    <w:p>
      <w:r>
        <w:t>Vor diesem Hintergrund zeigt sich, dass die Importeurin nicht nur die Frist zu ordentlichen Anmeldung versäumt hat (vorne E. 2.3.2), sondern ganz grundsätzlich keine Transitanmeldung vorgenommen hat bzw. hat vornehmen lassen. Die Transitanmeldung bildet aber ein Konstitutivelement des zugelassenen Empfangs (vorne E. 2.3.6), indem eine zeitlich verzögerte Anmeldung, die mit der Bewilligung des zugelassenen Empfangs einhergeht, ohne korrekte Anmeldung zum Transitverfahren ausgeschlossen ist. Gerade auch wenn jemand zum zugelassenen Empfang berechtigt wird, ist es von zentraler Bedeutung, dass die Ware durchwegs unter Zollüberwachung steht ( Art. 23 Abs. 1 ZG ). Diese setzt die Zuführung voraus (Barbara Henzen, in: Komm. ZG, N. 2 zu Art. 21 ZG ). Die Zollüberwachung dauert an bis zur Wiederausfuhr der Ware oder bis zur Überführung in den zollrechtlich freien Verkehr (Henzen, in: Komm. ZG, N. 3 zu Art. 23 ZG ; König/Maduz, a.a.O., Rz. 120 ff.).</w:t>
      </w:r>
    </w:p>
    <w:p>
      <w:r>
        <w:rPr>
          <w:b/>
        </w:rPr>
        <w:t>E. 3.2.2</w:t>
      </w:r>
    </w:p>
    <w:p>
      <w:r>
        <w:t>Die gesetzlich gebotene Zollüberwachung ist von vornherein ausgeschlossen, wenn eine Ware gewissermassen "heimlich" ins Zollinland verbracht und erst nach Gutdünken zur Anmeldung gebracht wird. Zutreffenderweise wäre ein zweistufiges Verfahren einzuschlagen gewesen, nämlich zunächst die Anmeldung zum Transitverfahren (Art. 47 Abs. 2 lit. b in Verbindung mit Art. 49 ZG ), und dies innerhalb der vom BAZG bestimmten Frist (vorne E. 2.3.2). Anschliessend hätte es mittels einer zweiten Anmeldung zur Überführung in den zollrechtlich freien Verkehr (Art. 47 Abs. 2 lit. a in Verbindung mit Art. 48 ZG ) kommen müssen (vgl. Urteil 2C_372/2021 vom 23. Dezember 2021 E. 3.4, wo es um das Verfahren der vorübergehenden Verwendung ging [ Art. 58 ZG ]). Die erste Phase ist unterblieben. Die Beschwerdeführenden erklären dies hauptsächlich damit, dass sie bei den ausländischen Lieferanten ein internationales Transitdokument beantragt hätten, dass diese das Dokument jedoch "aus Kostengründen" verweigert hätten. Dieses Fehlverhalten hat die Importeurin sich anrechnen zu lassen.</w:t>
      </w:r>
    </w:p>
    <w:p>
      <w:r>
        <w:rPr>
          <w:b/>
        </w:rPr>
        <w:t>E. 3.2.3</w:t>
      </w:r>
    </w:p>
    <w:p>
      <w:r>
        <w:t>Hinzu kommt eine weitere Überlegung: Im Fall des zugelassenen Empfangs stellt die elektronische Anmeldung nicht nur eine Möglichkeit (vorne E. 2.3.3), sondern eine Pflicht dar (vorne E. 2.3.5). Wenn die Beschwerdeführenden einwenden, die durch die Spediteurin vertretene Importeurin habe das "usanzgemässe" Vorgehen nur gewählt, wenn die Zollstelle unbesetzt gewesen sei, so verfängt dies nicht. Die Anmeldung zum Transitverfahren für die Zuführung an den zugelassenen Empfänger musste ohnehin elektronisch erfolgen.</w:t>
      </w:r>
    </w:p>
    <w:p>
      <w:r>
        <w:rPr>
          <w:b/>
        </w:rPr>
        <w:t>E. 3.2.4</w:t>
      </w:r>
    </w:p>
    <w:p>
      <w:r>
        <w:t>Mit Blick auf die unterlassene Anmeldung zum Transitverfahren hat die Vorinstanz erwogen, dass die Importeurin ihr Recht auf präferenzielle Verzollung der Ursprungswaren verwirkt habe. Auch dies ist bundesrechtlich nicht zu beanstanden: Gemäss Art. 19 Abs. 2 lit. b ZG kann die Ware mit dem höchsten Zollansatz belegt werden, der nach ihrer Art anwendbar ist, wenn die Ware</w:t>
      </w:r>
    </w:p>
    <w:p>
      <w:r>
        <w:t>nicht angemeldet worden ist. Die Abgabeforderung entsteht an sich im Zeitpunkt, in welchem die Zollstelle die Zollanmeldung annimmt ( Art. 69 lit. a ZG ); gleichzeitig wird sie fällig ( Art. 72 ZG ; Beusch, in: Komm. ZG, N. 4 zu Art. 69 ZG und N. 1 zu Art. 72 ZG ; König/Maduz, a.a.O., Rz. 216). Falls die Zollanmeldung aber unterlassen worden ist, so entsteht sie grundsätzlich bereits im Zeitpunkt, in dem die Waren über die Zollgrenze verbracht werden ( Art. 69 lit. c ZG ). Die Einschränkung gemäss Art. 69 lit. c ZG ist den Fällen vorbehalten, in welchen eine Zollanmeldung gänzlich unterlassen worden ist (Beusch, Komm. ZG, N. 18 zu Art. 69 ZG ).</w:t>
      </w:r>
    </w:p>
    <w:p>
      <w:r>
        <w:rPr>
          <w:b/>
        </w:rPr>
        <w:t>E. 3.2.5</w:t>
      </w:r>
    </w:p>
    <w:p>
      <w:r>
        <w:t>Eine derartige Konstellation liegt hier vor: Die 32 Fahrzeuge wurden gewissermassen "heimlich" ins Zollinland verbracht. Wie auch die Beschwerdeführenden einräumen, sind weder Transitdokumente erstellt worden noch ist eine elektronische Transitanmeldung erfolgt (vorne E. 3.2.2). Wäre es nicht Tage später zur Anmeldung der Überführung in den zollrechtlich freien Verkehr gekommen, hätte eine Verzollung nie stattgefunden. Vor dem Hintergrund von Art. 19 Abs. 2 lit. b ZG bedeutet dies, dass die Ware unilateral mit dem höchsten Zollansatz belegt werden kann und muss, der nach ihrer Art anwendbar ist. Dies alles hat die Vorinstanz zutreffend erwogen.</w:t>
      </w:r>
    </w:p>
    <w:p>
      <w:r>
        <w:rPr>
          <w:b/>
        </w:rPr>
        <w:t>E. 3.3.1</w:t>
      </w:r>
    </w:p>
    <w:p>
      <w:r>
        <w:t>Die Importeurin wendet ein, dies widerspreche dem Staatsvertragsrecht. Aus dem Völkerrecht ergibt sich aber nichts Anderes: Art. 11 des Abkommens vom 22. Juli 1972 zwischen der Schweizerischen Eidgenossenschaft und der Europäischen Wirtschaftsgemeinschaft (FHA CH-EWG; SR 0.632.401) legt das Protokoll Nr. 3 die Ursprungsregeln fest. In den hier interessierenden Abgabeperioden 2014 bis und mit 2016 handelte es sich dabei um das Protokoll Nr. 3 vom 15. Dezember 2005 über die Bestimmung des Begriffs "Erzeugnisse mit Ursprung in" oder "Ursprungserzeugnisse" und über die Methoden der Zusammenarbeit der Verwaltungen (Protokoll Nr. 3 2005; AS 2013 2831; ausführlich dazu Urteil 2C_907/2013 vom 25. März 2014 E. 2.2). Gemäss Art. 25 Satz 1 des Protokolls Nr. 3 2005 galt: "Die Ursprungsnachweise sind den Zollbehörden des Einfuhrlandes nach den dort geltenden Verfahrensvorschriften vorzulegen."</w:t>
      </w:r>
    </w:p>
    <w:p>
      <w:r>
        <w:rPr>
          <w:b/>
        </w:rPr>
        <w:t>E. 3.3.2</w:t>
      </w:r>
    </w:p>
    <w:p>
      <w:r>
        <w:t>Das BAZG legt in seiner Vernehmlassung überzeugend dar, dass damit auch für die Frage, im welchem Zeitpunkt eine Präferenzabfertigung beantragt werden muss, auf das unilaterale Recht abzustellen ist. Dies entspricht der bundesgerichtlichen Rechtsprechung (Urteil 2C_907/2013 vom 25. März 2014 E. 2.2.5). Das FHA CH-EWG ist als reines Handelsabkommen ausgestaltet, das als solches nach ständiger bundesgerichtlicher Praxis von den Schweizer Gerichten grundsätzlich autonom auszulegen und anzuwenden ist, wenn auch unter Berücksichtigung der Auslegungsgrundsätze des Wiener Übereinkommens vom 23. Mai 1969 über das Recht der Verträge (VRK; SR 0.111). Die Wendung "... nach den dort geltenden Verfahrensvorschriften..." kann nicht anders gedeutet werden als integrale Rückverweisung auf das im Einfuhrstaat geltende Verfahrensrecht. Zur</w:t>
      </w:r>
    </w:p>
    <w:p>
      <w:r>
        <w:t>lex fori zählt im vorliegenden Fall insbesondere auch Art. 19 Abs. 2 lit. b ZG . Die Veranlagung mit dem höchsten Zollansatz (vorne E. 3.2.4) hält damit vor dem Völkerrecht stand ( Art. 95 lit. b BGG ), sodass der angefochtene Entscheid auch diesbezüglich nicht zu beanstanden ist.</w:t>
      </w:r>
    </w:p>
    <w:p>
      <w:r>
        <w:rPr>
          <w:b/>
        </w:rPr>
        <w:t>E. 3.4.1</w:t>
      </w:r>
    </w:p>
    <w:p>
      <w:r>
        <w:t>Die Beschwerdeführenden haben damit gegen Bundesverwaltungsrecht verstossen. Gemäss Art. 12 Abs. 1 lit. a des Bundesgesetzes vom 22. März 1974 über das Verwaltungsstrafrecht (VStrR; SR 313.0) gilt: "Ist infolge einer Widerhandlung gegen die Verwaltungsgesetzgebung des Bundes zu Unrecht: eine Abgabe nicht erhoben, zurückerstattet, ermässigt oder erlassen worden, so sind die Abgabe, die Vergütung, der Beitrag oder der nicht eingeforderte Betrag und der Zins, ohne Rücksicht auf die Strafbarkeit einer bestimmten Person, nachzuentrichten oder zurückzuerstatten. Leistungs- oder rückleistungspflichtig ist, wer in den Genuss des unrechtmässigen Vorteils gelangt ist, insbesondere die zur Zahlung der Abgabe verpflichtete Person ( Art. 12 Abs. 2 VStrR ; König/Maduz, a.a.O., Rz. 252 ff.).</w:t>
      </w:r>
    </w:p>
    <w:p>
      <w:r>
        <w:rPr>
          <w:b/>
        </w:rPr>
        <w:t>E. 3.4.2</w:t>
      </w:r>
    </w:p>
    <w:p>
      <w:r>
        <w:t>Zollschuldner ist im vorliegenden Fall neben der Importeurin (Art. 21 Abs. 1 in Verbindung mit Art. 26 lit. a und Art. 70 Abs. 1 ZG ) auch der Verwaltungsratspräsident. Er ist zollrechtlich zumindest auch als Auftraggeber zu betrachten und in dieser Eigenschaft gleichermassen wie die Importeurin zollzahlungspflichtig ( Art. 70 Abs. 2 lit. a ZG ; Urteile 2C_912/2015 vom 20. September 2016 E. 5.2 und 5.3; 2C_201/2013 vom 24. Januar 2014 E. 6.7.2). Verwaltungsratspräsident und Importeurin sind durch die Nichterhebung der Zollabgaben, Automobil- und Einfuhrsteuern in den Genuss eines unrechtmässigen Vorteils gekommen. Für diese Abgaben sind sie gemäss Art. 12 Abs. 1 VStrR nachleistungspflichtig (Urteil 2C_677/2021 vom 28. März 2022 E. 6). Im Aussenverhältnis haften die mehreren Zollschuldner für die Zollschuld solidarisch ( Art. 70 Abs. 3 ZG ; Urteil 2C_420/2013 vom 4. Juli 2014 E. 2). Dies alles trifft auch auf die Einfuhr- und die Automobilsteuern zu (dazu insb. Art. 9 Abs. 1 lit. a AStG bzw. Art. 51 Abs. 1 MWSTG 2009; Urteile 2C_372/2021 vom 23. Dezember 2021 E. 3.3; 2C_912/2015 vom 20. September 2016 E. 5.2).</w:t>
      </w:r>
    </w:p>
    <w:p>
      <w:r>
        <w:rPr>
          <w:b/>
        </w:rPr>
        <w:t>E. 3.5</w:t>
      </w:r>
    </w:p>
    <w:p>
      <w:r>
        <w:t>Die Beschwerde erweist sich mithin als unbegründet. Sie ist abzuweisen.</w:t>
      </w:r>
    </w:p>
    <w:p>
      <w:r>
        <w:rPr>
          <w:b/>
        </w:rPr>
        <w:t>E. 4</w:t>
      </w:r>
    </w:p>
    <w:p>
      <w:r>
        <w:t>Nach dem Unterliegerprinzip sind die Kosten des bundesgerichtlichen Verfahrens den beiden Beschwerdeführenden aufzuerlegen (Art. 65 in Verbindung mit Art. 66 Abs. 1 BGG ), wofür diese zu gleichen Teilen und solidarisch haften ( Art. 66 Abs. 5 BGG ).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