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399/2025 vom 29. Juli 2025</w:t>
      </w:r>
    </w:p>
    <w:p>
      <w:r>
        <w:t>Bundesgericht, 2025-07-29, DE</w:t>
      </w:r>
    </w:p>
    <w:p>
      <w:r>
        <w:rPr>
          <w:b/>
        </w:rPr>
        <w:t xml:space="preserve">Quelle: </w:t>
      </w:r>
      <w:r>
        <w:t>https://mcp.opencaselaw.ch/entscheid/bger_2C_399_2025</w:t>
      </w:r>
    </w:p>
    <w:p>
      <w:r>
        <w:t>FR: TF 2C 399/2025 du 29 juillet 2025</w:t>
      </w:r>
    </w:p>
    <w:p>
      <w:r>
        <w:t>IT: TF 2C 399/2025 del 29 luglio 2025</w:t>
      </w:r>
    </w:p>
    <w:p>
      <w:pPr>
        <w:pStyle w:val="Heading2"/>
      </w:pPr>
      <w:r>
        <w:t>Regeste</w:t>
      </w:r>
    </w:p>
    <w:p>
      <w:r>
        <w:t>Amtshilfe (DBA CH-US)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Der Beschwerdeführer macht geltend, das Bundesgericht habe bereits verschiedene Konstellationen zu beurteilen gehabt, in denen sich die Frage gestellt habe, ob die Namen und andere Identifikationsmerkmale von Drittpersonen für den im Amtshilfeersuchen geltend gemachten Zweck voraussichtlich erheblich seien. Dabei gelte der Regelfall, dass die Namen der Bankmitarbeitenden zu schwärzen seien. Vorliegend stelle sich die Frage, wie in der von diesem Regelfall abweichenden Konstellation zu verfahren sei, wenn der ersuchende Staat nicht nur die Bankunterlagen zu einer Geschäftsbeziehung mit den Steuersubjekten, sondern auch ausdrücklich die Offenlegung aller in den Bankunterlagen figurierenden Identifikationsmerkmale von Bankmitarbeitenden verlange respektive wenn die ersuchende Behörde im Amtshilfeersuchen explizit um die Übermittlung der Identifikationsdaten von sämtlichen in den ersuchten Bankunterlagen erscheinenden Drittpersonen, namentlich auch von Bankmitarbeitenden, ersuche. Die Frage, wie die ESTV und die Vorinstanz mit derart formulierten Amtshilfeersuchen umgehen müsse, sei höchstrichterlich nicht geklärt.</w:t>
      </w:r>
    </w:p>
    <w:p>
      <w:r>
        <w:rPr>
          <w:b/>
        </w:rPr>
        <w:t>E. 1.3</w:t>
      </w:r>
    </w:p>
    <w:p>
      <w:r>
        <w:t>Die vom Beschwerdeführer aufgeworfene Rechtsfrage wird in der bundesgerichtlichen Rechtsprechung ausdrücklich adressiert.</w:t>
      </w:r>
    </w:p>
    <w:p>
      <w:r>
        <w:rPr>
          <w:b/>
        </w:rPr>
        <w:t>E. 1.3.1</w:t>
      </w:r>
    </w:p>
    <w:p>
      <w:r>
        <w:t>In BGE 143 II 506 hielt das Bundesgericht den Grundsatz fest, dass die Namen der Bankmitarbeitenden in den Unterlagen, die gemäss Art. 4 Abs. 3 des Bundesgesetzes vom 28. September 2012 über die internationale Amtshilfe in Steuersachen (Steueramtshilfegesetz, StAhiG; SR 651.1) an den ersuchenden Staat übermittelt werden, zu schwärzen sind, ausser wenn die Namen aus irgendeinem Grund wahrscheinlich erheblich erscheinen und ihre Übermittlung verhältnismässig ist (vgl. E. 5.2.1 ["sauf si ceux-ci apparaissent, pour un motif ou un autre, vraisemblablement pertinents et leur remise proportionnée"]). Diesen Grundsatz entwickelte das Bundesgericht alsdann in BGE 144 II 29 weiter und erwog, dass die Angaben zu den Bankmitarbeitenden und zum Rechtsanwalt/Notar, die in den zu übermittelnden Unterlagen enthalten sind, keine erforderlichen Informationen im Sinne von Art. 26 DBA CH-US darstellen, es sei denn, der ersuchende Staat verlangt diese Angaben ausdrücklich und diese sind nachweislich erforderlich (vgl. E. 4.3 i.f. ["sous réserve de situations où l'Etat requérant demanderait expressément ces données et que celles-ci présenteraient un caractère nécessaire avéré"]).</w:t>
      </w:r>
    </w:p>
    <w:p>
      <w:r>
        <w:rPr>
          <w:b/>
        </w:rPr>
        <w:t>E. 1.3.2</w:t>
      </w:r>
    </w:p>
    <w:p>
      <w:r>
        <w:t>Aus der angeführten Rechtsprechung ergibt sich in Bezug auf Bankmitarbeitende demnach der Grundsatz, dass deren Namen in der Regel nichts mit dem geltend gemachten Steuerzweck zu tun haben und daher nicht voraussichtlich erheblich sind (vgl. BGE 144 II 29 E. 4.2.4; 142 II 161 E. 4.6.1; Urteile 2C_270/2022 vom 27. September 2023 E. 4.7.2.3; 2C_537/2019 vom 13. Juli 2020 E. 5.2, nicht publ. in: BGE 147 II 13 ). Entsprechend sind die Namen von Bankmitarbeitenden durch die ESTV in den zur Übermittlung vorgesehenen Dokumenten grundsätzlich zu schwärzen, ausser wenn sie aus irgendeinem Grund wahrscheinlich erheblich erscheinen und ihre Übermittlung verhältnismässig ist (vgl. BGE 143 II 506 E. 5.2.1). Der Grundsatz, dass die Namen von Bankmitarbeitenden nicht voraussichtlich erheblich sind und darum nicht übermittelt werden dürfen, steht überdies unter dem Vorbehalt von Konstellationen, in welchen der ersuchende Staat ausdrücklich nach diesen Daten ersucht und diese nachweislich notwendig sind (vgl. BGE 144 II 29 E. 4.3 i.f.).</w:t>
      </w:r>
    </w:p>
    <w:p>
      <w:r>
        <w:rPr>
          <w:b/>
        </w:rPr>
        <w:t>E. 1.3.3</w:t>
      </w:r>
    </w:p>
    <w:p>
      <w:r>
        <w:t>Folglich ist die vom Beschwerdeführer aufgeworfene Frage, wie zu verfahren respektive vorzugehen sei, wenn die ersuchende Behörde ausdrücklich um die Übermittlung der Namen und Identifikationsmerkmale von Bankmitarbeitenden ersucht, insbesondere mit Blick auf den vorliegend anwendbaren Art. 26 DBA CH-US geklärt: Es ist anhand des Erfordernisses der voraussichtlichen Erheblichkeit und des Verhältnismässigkeitsgrundsatzes zu prüfen (vgl. BGE 143 II 506 E. 5.2.1), ob die Daten nachweislich notwendig sind (vgl. BGE 144 II 29 E. 4.3 i.f.). Die Vorinstanz hat sich im angefochtenen Urteil an dieses rechtsprechungsgemäss vorgegebene Vorgehen gehalten und die voraussichtliche Erheblichkeit der Informationen und die Verhältnismässigkeit der Informationsübermittlung eingehend geprüft (vgl. E. 6 und E. 7 des angefochtenen Urteils). Sie wendet somit die vom Bundesgericht festgelegten Voraussetzungen für die Informationsübermittlung auf den vorliegenden Einzelfall an und folgt im Ergebnis der von der ESTV vertretenen Auffassung, wonach die Namen und Identifikationsmerkmale von Bankmitarbeitenden im vorliegenden Einzellfall ausnahmsweise übermittelt werden dürften. Entgegen der Auffassung des Beschwerdeführers ändert das angefochtene Urteil nichts an den beiden Grundsätzen, dass die Namen der Bankmitarbeitenden nur ausnahmsweise (ungeschwärzt) zu übermitteln sind, und dass eine einzelfallspezifische Prüfung des Erfordernisses der voraussichtlichen Erheblichkeit der Angaben sowie der Verhältnismässigkeit der Übermittlung vorzunehmen ist, wenn ausdrücklich um die Übermittlung der Namen der Bankmitarbeitenden ersucht wird.</w:t>
      </w:r>
    </w:p>
    <w:p>
      <w:r>
        <w:rPr>
          <w:b/>
        </w:rPr>
        <w:t>E. 1.3.4</w:t>
      </w:r>
    </w:p>
    <w:p>
      <w:r>
        <w:t>Am Umstand, dass die aufgeworfene Rechtsfrage geklärt ist, vermag nichts zu ändern, dass der Beschwerdeführer mit Hinweis auf die Darstellung der Vorinstanz vorträgt, in den vom Bundesgericht zu beurteilenden Fällen sei bisher keine Konstellation vorgelegen, in welcher der ersuchende Staat ausdrücklich um Übermittlung der Namen von Bankmitarbeitenden ersucht habe. Der Beschwerdeführer lässt ausser Acht, dass die Übermittlung der Namen von Bankmitarbeitenden im bundesgerichtlichen Verfahren 2C_640/2016 explizit zur Diskussion stand (vgl. BGE 144 II 29 Bst. A.a ["the name and function of any relation-ship manager, client advisor, asset manager, financial advisor"] und Bst. B mit Hinweis auf die Dispositiv-Ziffer 3 des Urteils des BVGer A-5149/2015 vom 29. Juni 2016). Die Übermittlung wurde im Verfahren 2C_640/2016 lediglich verweigert, da die Informationen in der dortigen Konstellation als nicht notwendig erachtet wurden (vgl. BGE 144 II 29 E. 4.3-4.5). Die Frage, ob in der vorliegenden Angelegenheit die Informationen notwendig sind, betrifft die Rechtsanwendung im Einzelfall. Sie ist, wie bereits dargelegt, anhand des vom Bundesgericht vorgegebenen Vorgehens zu prüfen und wurde von der Vorinstanz in der vorliegenden Angelegenheit bejaht (vgl. E. 1.3.3 hiervor).</w:t>
      </w:r>
    </w:p>
    <w:p>
      <w:r>
        <w:rPr>
          <w:b/>
        </w:rPr>
        <w:t>E. 1.3.5</w:t>
      </w:r>
    </w:p>
    <w:p>
      <w:r>
        <w:t>Die vom Beschwerdeführer aufgeworfene Frage, wie in der vom Regelfall abweichenden Konstellation zu verfahren sei, ist somit geklärt. Es liegt keine Rechtsfrage von grundsätzlicher Bedeutung im Sinne von Art. 84a BGG vor.</w:t>
      </w:r>
    </w:p>
    <w:p>
      <w:r>
        <w:rPr>
          <w:b/>
        </w:rPr>
        <w:t>E. 1.4</w:t>
      </w:r>
    </w:p>
    <w:p>
      <w:r>
        <w:t>Soweit der Beschwerdeführer einen besonders bedeutenden Fall geltend macht und rügt, die Vorinstanz toleriere "eine mehrfache Verletzung des Anspruchs auf rechtliches Gehör", begründet er nicht rechtsgenüglich im Sinne der Eintretensvoraussetzungen, worin die grobe respektive qualifizierte Verletzung des Anspruchs auf rechtliches Gehör zu erkennen sein soll. Eine einfache Verletzung des Anspruchs auf rechtliches Gehör zieht nach der bundesgerichtlichen Rechtsprechung keine Verletzung eines elementaren Verfahrensgrundsatzes nach sich (vgl. Urteile 2C_414/2024 vom 12. September 2024 E. 1.3; 2C_622/2022 vom 29. Juli 2022 E. 1.3.1). Entsprechend stossen die Ausführungen des Beschwerdeführers zur nicht ausreichend begründeten Verfügung der ESTV vom 23. Mai 2023 und zur Akteneinsicht ins Leere. Gleich verhält es sich mit der Kritik des Beschwerdeführers am Kontakt der ESTV mit der Bankiervereinigung. Aus seinen Ausführungen, denen zufolge die Verfügung der ESTV vom 23. Mai 2023 einen rein "politischen Entscheid" darstelle, ergibt sich nicht, inwiefern eine qualifizierte Verletzung des Grundsatzes von Treu und Glauben vorliegen soll. Folglich ist auch kein besonders bedeutender Fall im Sinne von Art. 84a BGG in Verbindung mit Art. 84 Abs. 2 BGG ersichtlich.</w:t>
      </w:r>
    </w:p>
    <w:p>
      <w:r>
        <w:rPr>
          <w:b/>
        </w:rPr>
        <w:t>E. 1.5</w:t>
      </w:r>
    </w:p>
    <w:p>
      <w:r>
        <w:t>Im Ergebnis ist auf die Beschwerde in öffentlich-rechtlichen Angelegenheiten nicht einzutreten.</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