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398/2025 vom 29. Juli 2025</w:t>
      </w:r>
    </w:p>
    <w:p>
      <w:r>
        <w:t>Bundesgericht, 2025-07-29, DE</w:t>
      </w:r>
    </w:p>
    <w:p>
      <w:r>
        <w:rPr>
          <w:b/>
        </w:rPr>
        <w:t xml:space="preserve">Quelle: </w:t>
      </w:r>
      <w:r>
        <w:t>https://mcp.opencaselaw.ch/entscheid/bger_2C_398_2025</w:t>
      </w:r>
    </w:p>
    <w:p>
      <w:r>
        <w:t>FR: TF 2C 398/2025 du 29 juillet 2025</w:t>
      </w:r>
    </w:p>
    <w:p>
      <w:r>
        <w:t>IT: TF 2C 398/2025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vom Beschwerdeführer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vom Beschwerdeführer aufgeworfene Frage, wie in der vom Regelfall abweichenden Konstellation zu verfahren sei, ist somit geklärt. Es liegt keine Rechtsfrage von grundsätzlicher Bedeutung im Sinne von Art. 84a BGG vor.</w:t>
      </w:r>
    </w:p>
    <w:p>
      <w:r>
        <w:rPr>
          <w:b/>
        </w:rPr>
        <w:t>E. 1.4</w:t>
      </w:r>
    </w:p>
    <w:p>
      <w:r>
        <w:t>Soweit der Beschwerdeführer einen besonders bedeutenden Fall geltend macht und rügt, die Vorinstanz toleriere "eine mehrfache Verletzung des Anspruchs auf rechtliches Gehör", begründet er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des Beschwerdeführers zur nicht ausreichend begründeten Verfügung der ESTV vom 23. Mai 2023 und zur Akteneinsicht ins Leere. Gleich verhält es sich mit der Kritik des Beschwerdeführers am Kontakt der ESTV mit der Bankiervereinigung. Aus seinen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