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2C_398/2023 vom 19. Juli 2023</w:t>
      </w:r>
    </w:p>
    <w:p>
      <w:r>
        <w:t>Bundesgericht, 2023-07-19, DE</w:t>
      </w:r>
    </w:p>
    <w:p>
      <w:r>
        <w:rPr>
          <w:b/>
        </w:rPr>
        <w:t xml:space="preserve">Quelle: </w:t>
      </w:r>
      <w:r>
        <w:t>https://mcp.opencaselaw.ch/entscheid/bger_2C_398_2023</w:t>
      </w:r>
    </w:p>
    <w:p>
      <w:r>
        <w:t>FR: TF 2C_398/2023 du 19 juillet 2023</w:t>
      </w:r>
    </w:p>
    <w:p>
      <w:r>
        <w:t>IT: TF 2C_398/2023 del 19 luglio 2023</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Nach dem Grundsatz der Einheit des Prozesses gilt der in Art. 83 BGG für bestimmte Sachgebiete statuierte Ausschluss der Beschwerde in öffentlich-rechtlichen Angelegenheiten auch für prozessuale Entscheide. Damit ist gegen einen Nichteintretensentscheid die Beschwerde in öffentlich-rechtlichen Angelegenheiten nur zulässig, wenn auch ein Entscheid in der Sache mit diesem Rechtsmittel anfechtbar wäre (vgl. BGE 137 I 371 E. 1.1; Urteil 2C_941/2022 vom 25. November 2022 E. 1.1).</w:t>
      </w:r>
    </w:p>
    <w:p>
      <w:r>
        <w:rPr>
          <w:b/>
        </w:rPr>
        <w:t>E. 1.2</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w:t>
      </w:r>
    </w:p>
    <w:p>
      <w:r>
        <w:rPr>
          <w:b/>
        </w:rPr>
        <w:t>E. 1.2.1</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1.2.2</w:t>
      </w:r>
    </w:p>
    <w:p>
      <w:r>
        <w:t>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Art. 84a BGG bezweckt wie Art. 84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(vgl. BGE 139 II 340 E. 4; Urteil 2C_653/2018 vom 26. Juli 2019 E. 1.2.1, nicht publ. in: BGE 146 II 150 ).</w:t>
      </w:r>
    </w:p>
    <w:p>
      <w:r>
        <w:rPr>
          <w:b/>
        </w:rPr>
        <w:t>E. 1.3</w:t>
      </w:r>
    </w:p>
    <w:p>
      <w:r>
        <w:t>Die von der Beschwerdeführerin sinngemäss aufgeworfenen Fragen, denen sie grundsätzliche Bedeutung beimisst, sind als blosse Kritik an der Anwendung der vom Bundesgericht gefällten Rechtsprechung zu Art. 14 Abs. 2 des Bundesgesetzes vom 28. September 2012 über die internationale Amtshilfe in Steuersachen (Steueramtshilfegesetz, StAhiG; SR 651.1) in Verbindung mit Art. 19 Abs. 2 StAhiG zu lesen. Gemäss Art. 14 Abs. 2 StAhiG ist die ESTV nur gehalten, die vom Verfahren der Amtshilfe nicht betroffenen Personen, deren Name aber in den zur Übermittlung vorgesehenen Unterlagen erscheint, über den Bestand dieses Verfahrens zu informieren, wenn deren Beschwerderecht im Sinne von Art. 19 Abs. 2 StAhiG aus den Akten klarerweise hervorgeht (vgl. BGE 146 I 172 E. 7.4; Urteil 2C_687/2019 vom 13. Juli 2020 E. 6). Der Vorwurf der Beschwerdeführerin, wonach die Vorinstanz zu Unrecht davon ausgehe, dass ihr Beschwerderecht nicht "evident" sei, betrifft lediglich die konkrete Anwendung der genannten Rechtsprechung im vorliegenden Einzellfall. Eine Rechtsfrage von grundsätzlicher Bedeutung im Sinne von Art. 84a BGG ist nicht zu erkennen.</w:t>
      </w:r>
    </w:p>
    <w:p>
      <w:r>
        <w:rPr>
          <w:b/>
        </w:rPr>
        <w:t>E. 1.4</w:t>
      </w:r>
    </w:p>
    <w:p>
      <w:r>
        <w:t>Die Beschwerdeführerin rügt eine Verletzung von Art. 48 VwVG sowie des Anspruchs auf rechtliches Gehör und macht damit einen besonders bedeutenden Fall geltend.</w:t>
      </w:r>
    </w:p>
    <w:p>
      <w:r>
        <w:rPr>
          <w:b/>
        </w:rPr>
        <w:t>E. 1.4.1</w:t>
      </w:r>
    </w:p>
    <w:p>
      <w:r>
        <w:t>Da die Vorinstanz das Beschwerderecht der Beschwerdeführerin als nicht evident beurteilt, gelangt sie zum Schluss, dass die ESTV die Beschwerdeführerin zu Recht nicht über das Amtshilfeverfahren betreffend B.________ informiert habe. Die Beschwerdeführerin, so die Vorinstanz folgernd, könne daher nicht als eine Person im Sinne von Art. 48 Abs. 1 lit. a VwVG gelten, welche keine Möglichkeit zur Teilnahme am (Amtshilfe-) Verfahren erhalten habe (vgl. E. 3.4 des angefochtenen Urteils).</w:t>
      </w:r>
    </w:p>
    <w:p>
      <w:r>
        <w:rPr>
          <w:b/>
        </w:rPr>
        <w:t>E. 1.4.2</w:t>
      </w:r>
    </w:p>
    <w:p>
      <w:r>
        <w:t>Was die Beschwerdeführerin gegen die vorinstanzliche Erwägung vorbringt, vermag nicht zu überzeugen. Die Beschwerdeführerin hat nicht im Verfahren vor der ESTV um Teilnahme am Amtshilfeverfahren ersucht, sondern erst über ein Jahr nach Ablauf der Rechtsmittelfrist im vorinstanzlichen Beschwerdeverfahren (vgl. Bst. A f. hiervor; vgl. auch BGE 146 I 172 E. 7.2 i.f. und E. 7.3.3). Dass die Vorinstanz die Beschwerdelegitimation der Beschwerdeführerin nach Art. 48 VwVG verneint, nachdem sie unter Anwendung der bundesgerichtlichen Rechtsprechung zu Art. 14 Abs. 2 StAhiG in Verbindung mit Art. 19 Abs. 2 StAhiG ihr Beschwerderecht im Amtshilfeverfahren als nicht evident beurteilt, begründet entgegen der Auffassung der Beschwerdeführerin keine Verletzung von elementaren Verfahrensgrundsätzen.</w:t>
      </w:r>
    </w:p>
    <w:p>
      <w:r>
        <w:rPr>
          <w:b/>
        </w:rPr>
        <w:t>E. 1.4.3</w:t>
      </w:r>
    </w:p>
    <w:p>
      <w:r>
        <w:t>Auch die Gefahr sich widersprechender Urteile in den noch hängigen bundesverwaltungsgerichtlichen Verfahren A-4999/2021 sowie A-5002/2021, wie die Beschwerdeführerin befürchtet, führt nicht zu einer Verletzung von elementaren Verfahrensgrundsätzen, zumal die Beschwerdeführerin durch das Spezialitätsprinzip geschützt ist und die allenfalls zu übermittelnden Unterlagen im Verfahren A-4999/2021 nicht gegen sie verwendet werden dürfen (vgl. auch BGE 146 I 172 E. 7.3.3).</w:t>
      </w:r>
    </w:p>
    <w:p>
      <w:r>
        <w:rPr>
          <w:b/>
        </w:rPr>
        <w:t>E. 1.4.4</w:t>
      </w:r>
    </w:p>
    <w:p>
      <w:r>
        <w:t>Soweit die Beschwerdeführerin eine Verletzung des Anspruchs auf rechtliches Gehör rügt und darin einen besonders bedeutenden Fall im Sinne von Art. 84 Abs. 2 BGG erkennen will, gelingt es ihr nicht aufzuzeigen, dass eine qualifizierte Verletzung vorliegt, wie sie hierfür erforderlich wäre (vgl. Urteil 2C_622/2022 vom 29. Juli 2022 E. 1.3.1). Dies gilt namentlich für die vorinstanzliche Prüfung der Beschwerdelegitimation. Dass sich die Vorinstanz im Übrigen nicht mit sämtlichen Beweisen und Vorbringen auseinandersetzt, ist vielmehr Folge der von der Vorinstanz verneinten Beschwerdelegitimation und des daraus resultierenden Nichteintretensentscheids. Eine Verletzung von elementaren Verfahrensgrundsätzen ist darin nicht zu erkennen.</w:t>
      </w:r>
    </w:p>
    <w:p>
      <w:r>
        <w:rPr>
          <w:b/>
        </w:rPr>
        <w:t>E. 1.5</w:t>
      </w:r>
    </w:p>
    <w:p>
      <w:r>
        <w:t>Im Ergebnis ist auf die Beschwerde in öffentlich-rechtlichen Angelegenheiten nicht einzutreten.</w:t>
      </w:r>
    </w:p>
    <w:p>
      <w:r>
        <w:rPr>
          <w:b/>
        </w:rPr>
        <w:t>E. 2</w:t>
      </w:r>
    </w:p>
    <w:p>
      <w:r>
        <w:t>Diesem Verfahrensausgang entsprechend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