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392/2017 vom 11. Januar 2018</w:t>
      </w:r>
    </w:p>
    <w:p>
      <w:r>
        <w:t>Bundesgericht, 2018-01-11, DE</w:t>
      </w:r>
    </w:p>
    <w:p>
      <w:r>
        <w:rPr>
          <w:b/>
        </w:rPr>
        <w:t xml:space="preserve">Quelle: </w:t>
      </w:r>
      <w:r>
        <w:t>https://mcp.opencaselaw.ch/entscheid/bger_2C_392_2017</w:t>
      </w:r>
    </w:p>
    <w:p>
      <w:r>
        <w:t>FR: TF 2C 392/2017 du 11 janvier 2018</w:t>
      </w:r>
    </w:p>
    <w:p>
      <w:r>
        <w:t>IT: TF 2C 392/2017 del 11 gennaio 2018</w:t>
      </w:r>
    </w:p>
    <w:p>
      <w:pPr>
        <w:pStyle w:val="Heading2"/>
      </w:pPr>
      <w:r>
        <w:t>Regeste</w:t>
      </w:r>
    </w:p>
    <w:p>
      <w:r>
        <w:t>Staats- und Gemeindesteuern des Kantons Bern sowie direkte Bundessteuer 2004 | Öffentliche Finanzen &amp; Abgaberecht</w:t>
      </w:r>
    </w:p>
    <w:p>
      <w:pPr>
        <w:pStyle w:val="Heading2"/>
      </w:pPr>
      <w:r>
        <w:t>Erwägungen</w:t>
      </w:r>
    </w:p>
    <w:p>
      <w:r>
        <w:rPr>
          <w:b/>
        </w:rPr>
        <w:t>E. 1.1</w:t>
      </w:r>
    </w:p>
    <w:p>
      <w:r>
        <w:t>Die Vorinstanz hat ein einziges Urteil für die Kantons- und Gemeindesteuern sowie für die direkte Bundessteuer erlassen, was zulässig ist, soweit - wie im vorliegenden Fall -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1.3.3 S. 264; Urteil 2C_800/2016, 2C_801/2016 vom 14. Februar 2017 E. 1.2).</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des Bundesgesetzes vom 14. Dezember 1990 über die direkte Bundessteuer [DBG; SR 642.11] und Art. 73 des Bundesgesetzes vom 14. Dezember 1990 über die Harmonisierung der direkten Steuern der Kantone und Gemeinden [StHG; SR 642.14] ). Auf die Beschwerde ist einzutreten.</w:t>
      </w:r>
    </w:p>
    <w:p>
      <w:r>
        <w:rPr>
          <w:b/>
        </w:rPr>
        <w:t>E. 1.3.1</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140 III 86 E. 2 S. 89; 140 V 136 E. 1.1 S. 137 f.).</w:t>
      </w:r>
    </w:p>
    <w:p>
      <w:r>
        <w:rPr>
          <w:b/>
        </w:rPr>
        <w:t>E. 1.3.2</w:t>
      </w:r>
    </w:p>
    <w:p>
      <w:r>
        <w:t>Die Verletzung von Grundrechten und von kantonalem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rPr>
          <w:b/>
        </w:rPr>
        <w:t>E. 1.4.1</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und Rügeanforderungen nicht ( BGE 139 II 404 E. 10.1 S. 445 mit Hinweisen).</w:t>
      </w:r>
    </w:p>
    <w:p>
      <w:r>
        <w:rPr>
          <w:b/>
        </w:rPr>
        <w:t>E. 1.4.2.1</w:t>
      </w:r>
    </w:p>
    <w:p>
      <w:r>
        <w:t>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(Urteile 2C_1115/2014 vom 29. August 2016 E. 1.4.1, nicht publ. in: BGE 142 II 488 ; 2C_715/2013 vom 13. Januar 2014 E. 3.5 mit Hinweis auf BGE 107 II 222 E. I/3 S. 224).</w:t>
      </w:r>
    </w:p>
    <w:p>
      <w:r>
        <w:rPr>
          <w:b/>
        </w:rPr>
        <w:t>E. 1.4.2.2</w:t>
      </w:r>
    </w:p>
    <w:p>
      <w:r>
        <w:t>Die Beschwerdeführer tragen vor, die Steuerverwaltung des Kantons Bern versende in den allermeisten Fällen ihre Veranlagungsverfügungen und Einspracheentscheide aus Spargründen per normaler Post. In all diesen Fällen werde für die Berechnung der Rechtsmittelfrist stets auf das Verfügungsdatum abgestellt, weil der Nachweis einer früheren Zustellung gar nicht möglich sei. Individuelle Rückfragen an die Steuerverwaltung bezüglich Vordatierung und Fristenlauf würden in der Regel dahingehend beantwortet, dass einzig auf das Verfügungsdatum abgestellt werde, nicht auf den effektiven (früheren) Versand. Werde vom Empfänger ein seltenes Mal behauptet, er sei selbst am aufgedruckten späteren Datum noch nicht im Besitz der Verfügung gewesen, so würden Einsprache und Rekurs auch noch verspätet entgegengenommen - eben weil in 95% der Fälle das Zustelldatum fehle. Diese Sachdarstellung fehlt in der Beschwerde an die Vorinstanz, so dass diese keine Veranlassung hatte, sich mit der Frage nach der Versandpraxis der Steuerverwaltung zu beschäftigen, geschweige denn diesbezüglich weitere Untersuchungen anzustellen und sich mit aus einer solchen Praxis, so sie denn bestehen sollte, für die hier zu beurteilende Angelegenheit allenfalls zu ziehenden Konsequenzen zu befassen. Damit stellt die neue, im Übrigen unbelegte Sachdarstellung in der Beschwerde kein zulässiges neues tatsächliches Vorbringen dar, zu dem erst der Entscheid der Vorinstanz Anlass gab. Ausserdem fehlt es mit Bezug auf das neue Vorbringen auch an einer den Anforderungen von Art. 106 Abs. 2 BGG genügenden Beschwerdebegründung; die Beschwerdeführer bringen nicht vor, dass und inwiefern der angefochtene Entscheid unter Berücksichtigung des neuen tatsächlichen Vorbringens Grundrechte verletzen soll ( BGE 139 I 229 E. 2.2 S. 232). II. Direkte Bundessteuer</w:t>
      </w:r>
    </w:p>
    <w:p>
      <w:r>
        <w:rPr>
          <w:b/>
        </w:rPr>
        <w:t>E. 2.1</w:t>
      </w:r>
    </w:p>
    <w:p>
      <w:r>
        <w:t>Verfügungen und Entscheide der Steuerbehörden werden dem Steuerpflichtigen schriftlich eröffnet und müssen eine Rechtsmittelbelehrung enthalten ( Art. 116 Abs. 1 DBG ). Weitere Formvorschriften stellt das Gesetz nicht auf (Urteil 2C_570/2011, 2C_577/2011 vom 24. Januar 2012 E. 4.1). Nach allgemeinen Grundsätzen muss die Eröffnung dem Adressaten ermöglichen, von der Verfügung oder der Entscheidung Kenntnis zu erlangen, um diese gegebenenfalls sachgerecht anfechten zu können. Die Verfügung oder der Entscheid gilt als eröffnet, wenn er ordnungsgemäss zugestellt ist und der Steuerpflichtige davon Kenntnis nehmen kann; dass er davon tatsächlich Kenntnis nimmt, ist nicht erforderlich ( BGE 122 I 139 E. 1 S. 143; 113 Ib 296 E. 2a; für A-Post-Plus: Urteil 2C_430/2009 vom 14. Januar 2010 E. 2.4, in: StR 65/2010 S. 396). Einspracheentscheide müssen eine schriftliche Begründung enthalten ( Art. 143 Abs. 2 DBG ). Das Bundesrecht verlangt indessen nicht, dass sie zu datieren sind (vgl. allgemein zum Bundesverwaltungsverfahren Uhlmann/Schilling-Schwank, in: Waldmann/Weissenberger [Hrsg.], Praxiskommentar Verwaltungsverfahrensgesetz, 2. Aufl. 2016, N. 29 zu Art. 38 VwVG ).</w:t>
      </w:r>
    </w:p>
    <w:p>
      <w:r>
        <w:rPr>
          <w:b/>
        </w:rPr>
        <w:t>E. 2.2</w:t>
      </w:r>
    </w:p>
    <w:p>
      <w:r>
        <w:t>Der Einspracheentscheid, der am 24. November 2014 zugestellt wurde, war auf den 10. Dezember 2014 vordatiert und trug damit ein unzutreffendes Datum. Unabhängig davon, ob dieser Umstand angesichts des Fehlens einer gesetzlichen Pflicht zur Datumsangabe als Mangel betrachtet wird, war der Einspracheentscheid jedenfalls insoweit mangelhaft, als er durch den zusätzlichen Aufdruck eines falschen Endtermins der Rechtsmittelfrist den Eindruck erweckte, es könne bis zum aufgedruckten Datum Beschwerde erhoben werden. Die falsche Angabe des Endes der Rechtsmittelfrist stand jedoch in einem Spannungsverhältnis zur zutreffenden Angabe in der Rechtsmittelbelehrung, wonach innert 30 Tagen seit der Eröffnung Beschwerde bei der Rekurskommission erhoben werden kann.</w:t>
      </w:r>
    </w:p>
    <w:p>
      <w:r>
        <w:rPr>
          <w:b/>
        </w:rPr>
        <w:t>E. 2.3</w:t>
      </w:r>
    </w:p>
    <w:p>
      <w:r>
        <w:t>Stellt die falsche Angabe über den Ablauf der Rechtsmittelfrist einen Eröffnungsmangel dar, so darf in analoger Anwendung der bundesgerichtlichen Praxis zu unzutreffenden Rechtsmittelbelehrungen den vom Mangel Betroffenen nach Treu und Glauben kein Nachteil daraus erwachsen (vgl. BGE 139 III 78 E. 5.4.2 S. 85 ; 138 I 49 E. 8.3.2 S. 53 f.; siehe auch BGE 135 III 374 E. 1.2.2.1 S. 376 sowie Urteil 2C_756/2017 vom 21. September 2017 E. 3.3). Diese Praxis steht indessen unter dem Vorbehalt, dass der Betroffene den Irrtum nicht bemerkt hat und ihn bei gebührender Aufmerksamkeit auch nicht hätte bemerken müssen. Dabei darf nur eine grobe prozessuale Unsorgfalt einer Partei dazu führen, dass der Schutz von Treu und Glauben nicht greift. Der Vertrauensschutz versagt zudem nur dann, wenn der Mangel in der Rechtsmittelbelehrung für den Rechtsuchenden bzw. seinen Rechtsvertreter allein schon durch Konsultierung der massgebenden Verfahrensbestimmung ersichtlich gewesen wäre ( BGE 138 I 49 E. 8.3.2 S. 54; 135 III 374 E. 1.2.2.1 S. 376).</w:t>
      </w:r>
    </w:p>
    <w:p>
      <w:r>
        <w:rPr>
          <w:b/>
        </w:rPr>
        <w:t>E. 2.4.1</w:t>
      </w:r>
    </w:p>
    <w:p>
      <w:r>
        <w:t>Gemäss den verbindlichen Feststellungen der Vorinstanz wurden die Einspracheentscheide dem damaligen Vertreter der Beschwerdeführer am 24. November 2014 eingeschrieben zugestellt (vgl. angefochtener Entscheid E. 4.4). Die eingeschriebene Zustellung der Entscheide wurde im Verlauf des Verfahrens von Seiten der Beschwerdeführer nie bestritten.</w:t>
      </w:r>
    </w:p>
    <w:p>
      <w:r>
        <w:rPr>
          <w:b/>
        </w:rPr>
        <w:t>E. 2.4.2</w:t>
      </w:r>
    </w:p>
    <w:p>
      <w:r>
        <w:t>Im vorliegenden Fall fällt zunächst ins Gewicht, dass der auf dem Einspracheentscheid aufgedruckte unzutreffende Endtermin für die Rechtsmittelfrist in einem Spannungsverhältnis zur zutreffenden Rechtsmittelbelehrung stand. Dieser war nämlich zu entnehmen, dass es nicht etwa auf die Datierung oder auf einen aufgedruckten Endtermin für die Einreichung eines Rechtsmittels, sondern auf die Eröffnung des Entscheids ankam. Hinsichtlich des aufgedruckten Endtermins der Rechtsmittelfrist lag damit zwar ein Eröffnungsmangel vor. Allerdings fällt weiter auf, dass der Einspracheentscheid dem damaligen Vertreter bereits am 24. November 2014, d.h. zeitlich erheblich vor dem aufgedruckten Datum (10. Dezember 2014), zugestellt wurde. Damit ergab sich - unter dem Blickwinkel des Grundsatzes von Treu und Glauben - eine weitere Ungereimtheit im Hinblick auf den Ablauf der Rechtsmittelfrist, lagen doch bei Abstellen auf die Zustellung des Einspracheentscheids zwischen dessen Eröffnung und dem Ablauf der Rechtsmittelfrist gemäss Aufdruck nicht etwa 30, sondern 46 Tage, was wiederum nicht im Einklang mit der Rechtsmittelbelehrung stand, welche lediglich den Hinweis auf die Rechtsmittelfrist von 30 Tagen seit Eröffnung, indessen keinen Hinweis auf einen allfälligen Friststillstand enthielt.</w:t>
      </w:r>
    </w:p>
    <w:p>
      <w:r>
        <w:rPr>
          <w:b/>
        </w:rPr>
        <w:t>E. 2.4.3</w:t>
      </w:r>
    </w:p>
    <w:p>
      <w:r>
        <w:t>Es kann hier offenbleiben, ob das Spannungsverhältnis zwischen dem Aufdruck des falschen Endtermins für den Ablauf der Rechtsmittelfrist und der zutreffenden Rechtsmittelbelehrung oder die dargelegte Ungereimtheit hinsichtlich der Dauer der Rechtsmittelfrist je für sich allein genommen bereits dazu führen, dass sich der damalige Vertreter mangels gebührender Aufmerksamkeit nicht mehr auf den Grundsatz von Treu und Glauben berufen konnte (vgl. E. 2.3 hiervor). Zumindest zusammen genommen und in Kombination mit der unbestritten gebliebenen eingeschriebenen Zustellung (vgl. E. 2.4.1 hiervor) lassen sie das Verhalten des Vertreters im Zusammenhang mit der verspäteten Rechtsmitteleinreichung indes als unsorgfältig erscheinen: Hätte allein schon ein Blick ins Gesetz ausgereicht, um festzustellen, dass es für den Beginn des Fristenlaufs auf die Eröffnung des Einspracheentscheids und nicht etwa auf ein auf diesen aufgedrucktes Datum ankam, so wäre angesichts der zutreffenden Rechtsmittelbelehrung jedenfalls von einem Anwalt zu erwarten gewesen, dass er den Fehler in der Verfügung bemerkt und entsprechend reagiert hätte. Es kann nicht ausgeschlossen werden, dass dem damaligem Vertreter der Beschwerdeführer als dipl. Wirtschaftsprüfer (und damit allenfalls verfahrensrechtlich weniger erfahrener Person als einem Anwalt) der Unterschied zwischen aufgedrucktem Datum und Eröffnungsdatum nicht geläufig war. Auch dann hätte er sich angesichts des erheblichen Auseinanderklaffens zwischen Zustellung des Einspracheentscheids und Dauer der Rechtsmittelfrist gemäss Rechtsmittelbelehrung einerseits (30 Tage) sowie gemäss aufgedrucktem Enddatum andererseits (46 Tage) Fragen stellen müssen. Es ist zwar nicht völlig undenkbar, dass infolge Vorliegens eines Friststillstandsgrunds die tatsächlich für die Einreichung eines Rechtsmittels zur Verfügung stehende Frist länger ist als die im Gesetz genannte Frist. Dass ein Friststillstandsgrund vorliegt und die Rechtsmittelfrist deshalb tatsächlich länger ist, darf indessen nicht leichthin angenommen werden. Selbst wenn das Vorliegen eines Friststillstandsgrunds vermutet wird, gehört es zu den elementaren Pflichten eines jeden - und damit auch des prozessual unerfahrenen - Vertreters einer Partei, dass er sich Gewissheit über das Bestehen des vermuteten Friststillstandsgrunds verschafft. Hier hat sich der damalige Vertreter einfach auf den aufgedruckten Endtermin für die Einreichung eines Rechtsmittels verlassen, obwohl dieser eine erheblich längere tatsächliche als die gesetzliche Frist bedeutete, und hat keine entsprechenden Abklärungen getroffen. Das Versäumnis des Vertreters abzuklären, warum hier gemäss Aufdruck eine wesentlich längere als die gesetzliche vorgesehene Frist greifen sollte, war unmittelbar kausal für die verspätete Rechtsmitteleinreichung.</w:t>
      </w:r>
    </w:p>
    <w:p>
      <w:r>
        <w:rPr>
          <w:b/>
        </w:rPr>
        <w:t>E. 2.4.4</w:t>
      </w:r>
    </w:p>
    <w:p>
      <w:r>
        <w:t>Unter diesen konkreten und besonderen Umständen ist es daher im Ergebnis nicht zu beanstanden, wenn die Steuerrekurskommission und in der Folge die Vorinstanz hier von einer groben Unsorgfalt des Vertreters ausgegangen sind, die sich die Beschwerdeführer anrechnen lassen müssen, und entsprechend die erhobenen Rechtsmittel als nicht fristgerecht betrachtet haben (vgl. auch Urteil 2D_27/2011 vom 26. Juli 2011 E. 3.1).</w:t>
      </w:r>
    </w:p>
    <w:p>
      <w:r>
        <w:rPr>
          <w:b/>
        </w:rPr>
        <w:t>E. 2.5</w:t>
      </w:r>
    </w:p>
    <w:p>
      <w:r>
        <w:t>An diesem Ergebnis vermögen die Vorbringen in der Beschwerde nichts zu ändern.</w:t>
      </w:r>
    </w:p>
    <w:p>
      <w:r>
        <w:rPr>
          <w:b/>
        </w:rPr>
        <w:t>E. 2.5.1</w:t>
      </w:r>
    </w:p>
    <w:p>
      <w:r>
        <w:t>Die Beschwerdeführer machen zunächst geltend, die individuelle Angabe zum Ende der Rechtsmittelfrist gehe hier der allgemeinen Rechtsmittelbelehrung vor, weil das Ende der Rechtsmittelfrist in Form einer konkreten Datumsangabe genannt worden sei. Der Vertreter habe sich deshalb allein auf diese verlassen dürfen. Es ist notorisch, dass bei staatlichem wie privatem Handeln Fehler vorkommen. Da sich hier - wie bereits dargelegt - diverse Ungereimtheiten aus dem Einspracheentscheid ergaben (Spannungsverhältnis zwischen dem aufgedruckten Ende der Rechtsmittelfrist und der Rechtsmittelbelehrung sowie der Umstand, dass das aufgedruckte Datum nicht etwa 30, sondern 46 Tage nach dem Zustellungsdatum lag), war daher für den Vertreter der Beschwerdeführer nicht auszuschliessen, dass der Einspracheentscheid hinsichtlich des aufgedruckten Endes der Rechtsmittelfrist an einem Mangel litt. In dieser Situation konnte er sich nicht einfach auf das aufgedruckte Enddatum für die Rechtsmitteleinreichung verlassen. Es wäre vielmehr an ihm gelegen, sich darüber Klarheit zu verschaffen, worauf die offensichtlichen Ungereimtheiten hinsichtlich der Rechtsmittelfrist zurückzuführen waren. Dies hat er versäumt und sich einfach auf das für ihn günstige - unzutreffende - aufgedruckte Enddatum für die Einreichung eines Rechtsmittels verlassen. Grund für die verspäteten Rechtsmittel war damit letztlich nicht die falsche Angabe im Einspracheentscheid, sondern das Versäumnis des Vertreters, sich Klarheit über die dargelegten Ungereimtheiten zu verschaffen.</w:t>
      </w:r>
    </w:p>
    <w:p>
      <w:r>
        <w:rPr>
          <w:b/>
        </w:rPr>
        <w:t>E. 2.5.2</w:t>
      </w:r>
    </w:p>
    <w:p>
      <w:r>
        <w:t>Weiter führen die Beschwerdeführer aus, falls der Einspracheentscheid am Eröffnungsdatum im Büro des Vertreters nicht mit einem Eingangsstempel versehen oder anderweitig registriert worden sei, habe sich für ihn später überhaupt kein Hinweis mehr auf eine mögliche Diskrepanz zwischen Eröffnungsdatum und Verfügungsdatum ergeben. Eine Registrierung von Verfügungen beim Empfänger dränge sich im Übrigen nur auf, wenn der Fristenlauf nach Tagen ab Eröffnung der Rechtsmittelfrist auf der Verfügung unmissverständlich genannt werde. Dieses Vorbringen ist schon deshalb unbegründet, weil es auf einer unzutreffenden Auffassung hinsichtlich der im Behördenverkehr und insbesondere in Rechtsmittelverfahren erforderlichen Sorgfalt beruht. Unabhängig davon, ob eine Verfügung datiert ist oder gar das Ende der Frist für die Erhebung eines allfälligen Rechtsmittels nennt, gehört es zu den elementaren Sorgfaltspflichten nicht nur eines Anwalts, sondern jedes berufsmässigen Vertreters, in der einen oder anderen Form (insbes. durch Anbringen eines Eingangsstempels) für die Dokumentierung des Datums der Zustellung behördlicher Akte besorgt zu sein. Wenn dies hier unterblieben sein sollte und dem Vertreter deshalb die Ungereimtheit hinsichtlich der Beschwerdefrist (gemäss Rechtsmittelbelehrung 30 Tage, gemäss aufgedrucktem Datum 46 Tage) nicht bewusst geworden sein sollte, so liegt schon darin eine prozessuale Unsorgfalt, welche zum Verpassen der Rechtsmittelfrist führte.</w:t>
      </w:r>
    </w:p>
    <w:p>
      <w:r>
        <w:rPr>
          <w:b/>
        </w:rPr>
        <w:t>E. 2.5.3</w:t>
      </w:r>
    </w:p>
    <w:p>
      <w:r>
        <w:t>Schliesslich äussern die Beschwerdeführer die Vermutung, die Steuerverwaltung habe mit dem Versandlauf, mit dem der Einspracheentscheid versandt worden sei (der Entscheid dürfte wie üblich im Rahmen eines Massenversands und nicht individuell verschickt worden sein), die bernischen Steuerpflichtigen mittels der Datierung und des Aufdrucks der Rechtsmittelfrist vor einem Ablauf der Rechtsmittelfrist über die Feiertage schützen wollen. Jedoch habe dies leider nur für jene Adressaten geklappt, welche die Verfügungen per normale Post erhalten hätten. Der Sache nach machen die Beschwerdeführer damit eine Verletzung des Gleichheitsgebots geltend: Während bei der grossen Mehrheit der per normale Post zugestellten Einspracheentscheide der Zustellungszeitpunkt nicht nachweisbar sei und deshalb Rechtsmitteleingaben innerhalb der aufgedruckten Rechtsmittelfrist durchgehend als rechtzeitig betrachtet würden, sei auf ihre Beschwerde nur deshalb nicht eingetreten worden, weil Ihnen der Einspracheentscheid eingeschrieben zugestellt worden sei. Die Beschwerdeführer verkennen indes, dass die Steuerbehörde in ihrem Fall für die Zustellung des Einspracheentscheids den Weg der eingeschriebenen Sendung gewählt hat, weshalb sowohl für sie selbst, aber auch für die Beschwerdeführer bzw. deren Vertreter hinsichtlich des Zustellungszeitpunkts keine Zweifel entstehen konnten. Angesichts dessen, dass die Beweissicherung des Zustellungszeitpunkts sowohl mittels "Track &amp; Trace"-Nachverfolgung als auch mittels eines Eingangsstempels für den damaligen Vertreter keine Schwierigkeiten bot, ändert dies an seiner bereits festgestellten prozessualen Unsorgfalt mit Bezug auf die Nichteinhaltung der Rechtsmittelfrist nichts.</w:t>
      </w:r>
    </w:p>
    <w:p>
      <w:r>
        <w:rPr>
          <w:b/>
        </w:rPr>
        <w:t>E. 2.6</w:t>
      </w:r>
    </w:p>
    <w:p>
      <w:r>
        <w:t>Zusammenfassend erweist sich die Beschwerde betreffend die direkte Bundessteuer als unbegründet und ist abzuweisen. III. Kantons- und Gemeindesteuer</w:t>
      </w:r>
    </w:p>
    <w:p>
      <w:r>
        <w:rPr>
          <w:b/>
        </w:rPr>
        <w:t>E. 3</w:t>
      </w:r>
    </w:p>
    <w:p>
      <w:r>
        <w:t>Gemäss Art. 52 Abs. 1 lit. f des Gesetzes [des Kantons Bern] vom 23. Mai 1989 über die Verwaltungsrechtspflege (VRPG/BE; BSG 155.21) muss eine Verfügung neben anderen Angaben das Datum enthalten (vgl. dazu Merkli/Aeschlimann/Herzog, Kommentar zum Gesetz über die Verwaltungsrechtspflege im Kanton Bern, 1997, Art. 52 N. 19 sowie Markus Müller, Bernische Verwaltungsrechtspflege, 2. Aufl. 2011, S. 117). Daraus ergibt sich, dass der Einspracheentscheid, auf den Art. 52 Abs. 1 lit. f VRPG/BE zur Anwendung gelangt (vgl. dazu Urteil [des Verwaltungsgerichts des Kantons Bern] vom 3. Oktober 2013 E. 2.2, in: BVR 2014, S. 130), an einem Eröffnungsmangel litt, indem er (erheblich) vordatiert war (so zutreffend Regina Kiener in der Besprechung des angeführten Urteils des Verwaltungsgerichts des Kantons Bern, BVR 2014, S. 141 f.). Unter Berücksichtigung der bereits festgestellten Mangelhaftigkeit hinsichtlich der Angabe betreffend das Ende der Rechtsmittelfrist litt der Einspracheentscheid nicht nur an einem, sondern an zwei Eröffnungsmängeln. Diese Mängel stellen indessen auch zusammen genommen keinen Nichtigkeits- oder Anfechtungsgrund dar. Ausserdem beanspruchen die schon in Bezug auf die direkte Bundessteuer dargelegten Erwägungen über die Folgen prozessualer Unsorgfalt auch für die Kantons- und Gemeindesteuern Gültigkeit. Damit erweist sich die Beschwerde auch hinsichtlich der Kantons- und Gemeindesteuern als unbegründet und ist abzuweisen. IV. Kosten- und Entschädigung</w:t>
      </w:r>
    </w:p>
    <w:p>
      <w:r>
        <w:rPr>
          <w:b/>
        </w:rPr>
        <w:t>E. 4</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