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391/2025 vom 30. Juli 2025</w:t>
      </w:r>
    </w:p>
    <w:p>
      <w:r>
        <w:t>Bundesgericht, 2025-07-30, DE</w:t>
      </w:r>
    </w:p>
    <w:p>
      <w:r>
        <w:rPr>
          <w:b/>
        </w:rPr>
        <w:t xml:space="preserve">Quelle: </w:t>
      </w:r>
      <w:r>
        <w:t>https://mcp.opencaselaw.ch/entscheid/bger_2C_391_2025</w:t>
      </w:r>
    </w:p>
    <w:p>
      <w:r>
        <w:t>FR: TF 2C 391/2025 du 30 juillet 2025</w:t>
      </w:r>
    </w:p>
    <w:p>
      <w:r>
        <w:t>IT: TF 2C 391/2025 del 30 luglio 2025</w:t>
      </w:r>
    </w:p>
    <w:p>
      <w:pPr>
        <w:pStyle w:val="Heading2"/>
      </w:pPr>
      <w:r>
        <w:t>Regeste</w:t>
      </w:r>
    </w:p>
    <w:p>
      <w:r>
        <w:t>Amtshilfe (DBA CH-ES)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eine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Beschwerdeführer tragen vor, die ersuchende Behörde begründe die drei Amtshilfeersuchen ausdrücklich mit der Absicht, ein Steuerveranlagungsverfahren für das Jahr 2019 durchzuführen. Dabei werde ausser Acht gelassen, dass das geschäftlich genutzte Immobiliarvermögen in Spanien keine Ansässigkeit begründe. Die ersuchende Behörde begründe nicht, weshalb A.________ in Spanien ansässig im Sinne des Doppelbesteuerungsabkommens sein solle. Vielmehr sei dieser im Jahr 2019 in der Schweiz unbeschränkt steuerpflichtig gewesen. Die Beschwerdeführer beanstanden sodann, die ersuchende Behörde habe die Ansässigkeit im Sinne der im Amtshilfeverfahren einzig massgeblichen Kriterien von Art. 4 DBA-ES weder ausdrücklich noch sinngemäss geltend gemacht. Wenn überhaupt berufe sich die ersuchende Behörde lediglich auf die Voraussetzungen des materiellen spanischen Steuerrechts, was der Auffassung der Beschwerdeführer nach nicht genügt. In diesem Umstand sei eine Rechtsfrage von grundsätzlicher Bedeutung zu erkennen. Im Übrigen habe die Vorinstanz den Sachverhalt willkürlich festgestellt und damit elementare Verfahrensgrundsätze verletzt, sodass ein besonders bedeutender Fall vorliege.</w:t>
      </w:r>
    </w:p>
    <w:p>
      <w:r>
        <w:rPr>
          <w:b/>
        </w:rPr>
        <w:t>E. 1.3</w:t>
      </w:r>
    </w:p>
    <w:p>
      <w:r>
        <w:t>Nach der bundesgerichtlichen Rechtsprechung stellt die Bestimmung des Steuerwohnsitzes der von der Amtshilfe betroffenen Person im internationalen Kontext eine materielle Frage dar, die von den Behörden des ersuchten Staats nicht im Rahmen des Amtshilfeverfahrens zu klären ist, sondern in die Zuständigkeit der Behörden des ersuchenden Staats fällt (vgl. BGE 145 II 112 E. 2.2.2; 142 II 218 E. 3.6 f.; 142 II 161 E. 2.2.2). Deshalb ist es im Grundsatz unbehelflich, wenn sich die betroffene Person im Rahmen des Amtshilfeverfahrens auf eine (unbeschränkte) Steuerpflicht in einem anderen (als dem ersuchenden) Staat beruft (vgl. BGE 142 II 161 E. 2.2 ff.; Urteile 2C_109/2022 vom 30. Januar 2023 E. 4.2.1; 2C_762/2022 vom 23. September 2022 E. 1.3; 2C_622/2022 vom 29. Juli 2022 E. 1.2.1; 2C_552/2022 vom 14. Juli 2022 E. 1.3). Die einzige Konstellation, in der das Bundesgericht eine Vorabwürdigung des Steuerwohnsitzes im Rahmen des Amtshilfeverfahrens ausnahmsweise zulässt, setzt voraus, dass die betroffene Person in der Schweiz unbeschränkt steuerpflichtig ist (vgl. Urteile 2C_761/2022 vom 1. Juli 2024 E. 4.4.2; 2C_109/2022 vom 30. Januar 2023 E. 4.5.3; 2C_953/2020 vom 24. November 2021 E. 3.6). Im Rahmen dieser Vorabwürdigung haben sich die Behörden des ersuchten Staats darauf zu beschränken, zu überprüfen, ob das vom ersuchenden Staat herangezogene Kriterium für den steuerlichen Wohnsitz im anwendbaren Doppelbesteuerungsabkommen vorgesehen ist (vgl. BGE 142 II 161 E. 2.2.2).</w:t>
      </w:r>
    </w:p>
    <w:p>
      <w:r>
        <w:rPr>
          <w:b/>
        </w:rPr>
        <w:t>E. 1.4</w:t>
      </w:r>
    </w:p>
    <w:p>
      <w:r>
        <w:t>Die Beschwerdeführer unterbreiten dem Bundesgericht keine konkret formulierte Rechtsfrage von grundsätzlicher Bedeutung. Sie kritisieren lediglich die vorinstanzliche Vorabwürdigung des (potenziellen) Steuerwohnsitzes in Anwendung von Art. 4 Abs. 2 DBA CH-ES , da der von der Amtshilfe betroffene Beschwerdeführer im ersuchten Zeitraum zwischen dem 1. Januar 2019 und dem 30. Juni 2019 unbestrittenermassen in der Schweiz unbeschränkt steuerpflichtig gewesen ist. Die Vorinstanz hat im Rahmen dieser Vorabwürdigung die wirtschaftlichen Beziehungen zu Spanien und die möglicherweise längere Aufenthaltsdauer in Spanien gewürdigt und ist dabei zum Schluss gelangt, dass die voraussichtliche Erheblichkeit der ersuchten Informationen nicht von vornherein verneint werden könne (vgl. E. 4.2.2 des angefochtenen Urteils). Die blosse Kritik an der vorinstanzlichen Rechtsanwendung im vorliegenden Einzelfall begründet entgegen der Auffassung der Beschwerdeführer keine Rechtsfrage von grundsätzlicher Bedeutung. Auch aus dem Umstand, dass sich das Amtshilfeersuchen nach der Auffassung der Beschwerdeführer nicht auf Art. 4 DBA CH-ES , sondern nur auf Art. 25bis DBA CH-ES stützt, ergibt sich keine Grundsatzfrage, zumal die Vorinstanz die Vorabwürdigung unbestrittenermassen unter Anwendung von Art. 4 DBA CH-ES vorgenommen hat. Folglich liegt keine Rechtsfrage von grundsätzlicher Bedeutung im Sinne von Art. 84a BGG vor.</w:t>
      </w:r>
    </w:p>
    <w:p>
      <w:r>
        <w:rPr>
          <w:b/>
        </w:rPr>
        <w:t>E. 1.5</w:t>
      </w:r>
    </w:p>
    <w:p>
      <w:r>
        <w:t>Im Weiteren lässt sich in der Rüge, die Vorinstanz habe den Sachverhalt bei der Prüfung der Ansässigkeit offensichtlich unrichtig im Sinne von Art. 97 BGG festgestellt, keine Verletzung von elementaren Verfahrensgrundsätzen erkennen. Die Sachverhaltsrügen der Beschwerdeführer erschöpfen sich in einer blossen Gegendarstellung ihrer Sichtweise, womit sie jedenfalls keine grobe respektive qualifizierte Verletzung des Anspruchs auf rechtliches Gehör im Sinne der Eintretensvoraussetzungen rechtsgenüglich begründen (vgl. auch Urteile 2C_414/2024 vom 12. September 2024 E. 1.3; 2C_622/2022 vom 29. Juli 2022 E. 1.3.1). Ein besonders bedeutender Fall im Sinne von Art. 84a BGG in Verbindung mit Art. 84 Abs. 2 BGG ergibt sich daraus nicht.</w:t>
      </w:r>
    </w:p>
    <w:p>
      <w:r>
        <w:rPr>
          <w:b/>
        </w:rPr>
        <w:t>E. 1.6</w:t>
      </w:r>
    </w:p>
    <w:p>
      <w:r>
        <w:t>Im Ergebnis ist auf die Beschwerde in öffentlich-rechtlichen Angelegenheiten nicht einzutreten.</w:t>
      </w:r>
    </w:p>
    <w:p>
      <w:r>
        <w:rPr>
          <w:b/>
        </w:rPr>
        <w:t>E. 2</w:t>
      </w:r>
    </w:p>
    <w:p>
      <w:r>
        <w:t>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