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2C_389/2025 vom 20. Januar 2026</w:t>
      </w:r>
    </w:p>
    <w:p>
      <w:r>
        <w:t>Bundesgericht, 2026-01-20, IT</w:t>
      </w:r>
    </w:p>
    <w:p>
      <w:r>
        <w:rPr>
          <w:b/>
        </w:rPr>
        <w:t xml:space="preserve">Quelle: </w:t>
      </w:r>
      <w:r>
        <w:t>https://mcp.opencaselaw.ch/entscheid/bger_2C_389_2025</w:t>
      </w:r>
    </w:p>
    <w:p>
      <w:r>
        <w:t>FR: TF 2C_389/2025 du 20 janvier 2026</w:t>
      </w:r>
    </w:p>
    <w:p>
      <w:r>
        <w:t>IT: TF 2C_389/2025 del 20 gennaio 2026</w:t>
      </w:r>
    </w:p>
    <w:p>
      <w:pPr>
        <w:pStyle w:val="Heading2"/>
      </w:pPr>
      <w:r>
        <w:t>Erwägungen</w:t>
      </w:r>
    </w:p>
    <w:p>
      <w:r>
        <w:rPr>
          <w:b/>
        </w:rPr>
        <w:t>E. 9.1</w:t>
      </w:r>
    </w:p>
    <w:p>
      <w:r>
        <w:t>Da quel che precede discende che il ricorso, nella misura in cui è ammissibile, dev'essere parzialmente accolto. In queste condizioni non occorre (più) pronunciarsi sulla censura formulata dai ricorrenti 3 e 4 riguardo all'asserita violazione dell' art. 8 CEDU nei loro confronti.</w:t>
      </w:r>
    </w:p>
    <w:p>
      <w:r>
        <w:t>La sentenza cantonale, in quanto rifiuta di rinnovare i permessi di dimora UE/AELS di tutti i ricorrenti è annullata. La causa è rinviata alla Sezione della popolazione affinché prolunghi i permessi dimora UE/AELS dei ricorrenti 3 e 4 ( art. 107 cpv. 2 LTF ). Essa è invece rinviata al Tribunale cantonale amministrativo per complemento d'istruttoria riguardo all'eventuale proroga dei permessi di dimora UE/AELS dei ricorrenti 1 e 2. Per il resto la sentenza impugnata, in quanto rifiuta di accordare dei permessi di domicilio UE/AELS a tutti i ricorrenti, è confermata.</w:t>
      </w:r>
    </w:p>
    <w:p>
      <w:r>
        <w:rPr>
          <w:b/>
        </w:rPr>
        <w:t>E. 9.2</w:t>
      </w:r>
    </w:p>
    <w:p>
      <w:r>
        <w:t>Le spese giudiziarie sono poste in parti uguali e in solido a carico dei ricorrenti, in misura corrispondente alla loro parziale soccombenza ( art. 66 cpv. 1 5 LTF). Benché parzialmente soccombente, lo Stato del Cantone Ticino, intervenuto nell'esercizio delle sue attribuzioni ufficiali, è dispensato dal pagamento delle spese giudiziarie ( art. 66 cpv. 4 LTF ). Esso verserà invece ai ricorrenti, creditori solidali, un'indennità ridotta a titolo di ripetibili della sede federale ( art. 68 cpv. 1 e 2 LTF ). Non si assegnano ripetibili ad autorità vincenti ( art. 68 cpv. 3 LTF ).</w:t>
      </w:r>
    </w:p>
    <w:p>
      <w:r>
        <w:rPr>
          <w:b/>
        </w:rPr>
        <w:t>E. 9.3</w:t>
      </w:r>
    </w:p>
    <w:p>
      <w:r>
        <w:t>Da parte sua, il Tribunale amministrativo ticinese dovrà nuovamente esprimersi sulle spese e sulle ripetibili della sede cantonale ( art. 68 cpv. 5 e art. 107 cpv.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