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388/2019 vom 6. Mai 2019</w:t>
      </w:r>
    </w:p>
    <w:p>
      <w:r>
        <w:t>Bundesgericht, 2019-05-06, FR</w:t>
      </w:r>
    </w:p>
    <w:p>
      <w:r>
        <w:rPr>
          <w:b/>
        </w:rPr>
        <w:t xml:space="preserve">Quelle: </w:t>
      </w:r>
      <w:r>
        <w:t>https://mcp.opencaselaw.ch/entscheid/bger_2C_388_2019</w:t>
      </w:r>
    </w:p>
    <w:p>
      <w:r>
        <w:t>FR: TF 2C 388/2019 du 6 mai 2019</w:t>
      </w:r>
    </w:p>
    <w:p>
      <w:r>
        <w:t>IT: TF 2C 388/2019 del 6 maggio 2019</w:t>
      </w:r>
    </w:p>
    <w:p>
      <w:pPr>
        <w:pStyle w:val="Heading2"/>
      </w:pPr>
      <w:r>
        <w:t>Regeste</w:t>
      </w:r>
    </w:p>
    <w:p>
      <w:r>
        <w:t>Détention en vue de renvoi | Droit de cité et droit des étrangers</w:t>
      </w:r>
    </w:p>
    <w:p>
      <w:pPr>
        <w:pStyle w:val="Heading2"/>
      </w:pPr>
      <w:r>
        <w:t>Erwägungen</w:t>
      </w:r>
    </w:p>
    <w:p>
      <w:r>
        <w:rPr>
          <w:b/>
        </w:rPr>
        <w:t>E. 1</w:t>
      </w:r>
    </w:p>
    <w:p>
      <w:r>
        <w:t>Par arrêt rendu le 17 avril 2019 en application de l' art. 75 al. 1 let . LEI, le Juge unique du Tribunal cantonal du canton du Valais a approuvé la mise en détention par le Service de la population et des migrations du canton du Valais le 15 avril 2019 de X.________, ressortissant tunisien, requérant d'asile attribué au canton du Valais qui avait disparu le 25 janvier 2019. Lors de son audition du 17 avril 2019, il avait affirmé qu'il ne voulait pas retourner en Tunisie. Par ailleurs, il avait laissé ses papiers d'identité en Tunisie.</w:t>
      </w:r>
    </w:p>
    <w:p>
      <w:r>
        <w:rPr>
          <w:b/>
        </w:rPr>
        <w:t>E. 2</w:t>
      </w:r>
    </w:p>
    <w:p>
      <w:r>
        <w:t>Par courrier du 24 avril 2019, l'intéressé demande au Tribunal fédéral de quitter la Suisse aussi vite que possible. Il dit ne pas supporter la prison.</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l'arrêt du 17 avril 2019 et les motifs qu'il retient à l'appui de la confirmation de détention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