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2C_382/2007 vom 23. November 2007</w:t>
      </w:r>
    </w:p>
    <w:p>
      <w:r>
        <w:t>Bundesgericht, 2007-11-23, FR</w:t>
      </w:r>
    </w:p>
    <w:p>
      <w:r>
        <w:rPr>
          <w:b/>
        </w:rPr>
        <w:t xml:space="preserve">Quelle: </w:t>
      </w:r>
      <w:r>
        <w:t>https://mcp.opencaselaw.ch/entscheid/bger_2C_382_2007</w:t>
      </w:r>
    </w:p>
    <w:p>
      <w:r>
        <w:t>FR: TF 2C_382/2007 du 23 novembre 2007</w:t>
      </w:r>
    </w:p>
    <w:p>
      <w:r>
        <w:t>IT: TF 2C_382/2007 del 23 novembre 2007</w:t>
      </w:r>
    </w:p>
    <w:p>
      <w:pPr>
        <w:pStyle w:val="Heading2"/>
      </w:pPr>
      <w:r>
        <w:t>Erwägungen</w:t>
      </w:r>
    </w:p>
    <w:p>
      <w:r>
        <w:rPr>
          <w:b/>
        </w:rPr>
        <w:t>E. 1</w:t>
      </w:r>
    </w:p>
    <w:p>
      <w:r>
        <w:t>Dans la mesure où il est dirigé aussi contre l'arrêt du 21 juin 2007, soit contre un jugement final ( art. 90 LTF ) rendu dans une cause de droit public ( art. 82 lettre a LTF ) par le Tribunal administratif fédéral ( art. 86 al. 1 lettre a LTF ), le présent recours est en principe recevable. Interjeté par une partie directement touchée par la décision attaquée et qui a un intérêt digne de protection à son annulation ou sa modification ( art. 89 al. 1 LTF ), il a, en effet, été déposé dans le délai ( art. 100 al. 1 LTF ) et la forme ( art. 42 LTF ) prévus par la loi et ne tombe sous aucun des cas d'exceptions mentionnés à l' art. 83 LTF .</w:t>
      </w:r>
    </w:p>
    <w:p>
      <w:r>
        <w:t>Le Tribunal administratif ayant un plein pouvoir d'examen (art. 49 de la loi fédérale du 20 décembre 1968 sur la procédure administrative [PA; RS 172.021] en relation avec l'art. 37 de la loi fédérale du 17 juin 2005 sur le Tribunal administratif fédéral [LTAF; RS 173.32] et avec l' art. 2 al. 4 PA ), son prononcé se substitue aux décisions sur réclamation de l'Administration fédérale (effet dévolutif complet; voir Fritz Gygi, Bundesverwaltungsrechtspflege, 2ème éd., Berne 1983, p. 189 s.). Dès lors, le recours devant l'instance de céans peut seulement avoir pour objet le prononcé en question et les conclusions tendant à l'annulation des décisions des instances précédentes sont irrecevables.</w:t>
      </w:r>
    </w:p>
    <w:p>
      <w:r>
        <w:rPr>
          <w:b/>
        </w:rPr>
        <w:t>E. 2</w:t>
      </w:r>
    </w:p>
    <w:p>
      <w:r>
        <w:t>Le recourant excipe de la prescription, "vu le temps écoulé".</w:t>
      </w:r>
    </w:p>
    <w:p>
      <w:r>
        <w:t>Outre que ce grief ne satisfait manifestement pas aux exigences de motivation de l' art. 42 al. 2 LTF , il est mal fondé. En effet, pour les périodes fiscales écoulées sous l'égide de l'ordonnance régissant la taxe sur la valeur ajoutée, la prescription pouvait intervenir au plus tôt à la fin 2002 pour l'impôt échu au cours de l'année 1997 (cf. art. 40 al. 1 OTVA ). Le délai de cinq ans a toutefois été interrompu une première fois par le décompte complémentaire no 157'495 du 15 mai 2002, puis de nouveau par la décision du 22 avril 2004 et par la décision sur réclamation du 6 décembre 2004, de sorte que la prescription n'est pas acquise. Il en va de même des périodes fiscales accomplies sous le régime de la loi régissant la taxe sur la valeur ajoutée: la prescription pouvait intervenir au plus tôt à la fin 2006 (cf. art. 50 al. 1 LTVA ) et le délai de cinq ans a été interrompu par les décomptes et décisions précités, de sorte que la créance fiscale n'est pas prescrite.</w:t>
      </w:r>
    </w:p>
    <w:p>
      <w:r>
        <w:rPr>
          <w:b/>
        </w:rPr>
        <w:t>E. 3</w:t>
      </w:r>
    </w:p>
    <w:p>
      <w:r>
        <w:t>Découlant directement de l' art. 9 Cst. (cf. aussi art. 4 aCst. )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 ATF 129 I 161 consid. 4.1 p. 170; 128 II 112 consid. 10b/aa p. 125; 126 II 377 consid. 3a p. 387 et les arrêts cités).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 ATF 131 II 627 consid. 6.1 p. 636/637; 129 I 161 consid. 4.1 p. 170; 122 II 113 consid. 3b/cc p. 123 et les références citées).</w:t>
      </w:r>
    </w:p>
    <w:p>
      <w:r>
        <w:t>Le principe de la bonne foi régit aussi les rapports entre les autorités fiscales et les contribuables; le droit fiscal est toutefois dominé par le principe de la légalité, de telle sorte que le principe de la bonne foi ne saurait avoir qu'une influence limitée, surtout s'il vient à entrer en conflit avec le principe de la légalité (cf. art. 5 et 9 Cst. ; ATF 131 II 627 consid. 6.1 p. 637; 118 Ib 312 consid. 3b p. 316; cf. Jean-Marc Rivier, Droit fiscal suisse, 2e éd., Lausanne 1998, p. 132; Ernst Blumenstein/Peter Locher, System des Steuerrechts, 6e éd., Zurich 2002, p. 28 et les nombreuses références). Ainsi, le contribuable ne peut bénéficier d'un traitement dérogeant à la loi que si les conditions mentionnées ci-dessus - qui doivent être interprétées de manière stricte - sont remplies de manière claire et sans équivoque (2A. 478/2005, rés. in RF 61/2006 p. 821; 2A.92/1999, Pra 2001 no 7 p. 42, consid. 4a et la jurisprudence citée).</w:t>
      </w:r>
    </w:p>
    <w:p>
      <w:r>
        <w:rPr>
          <w:b/>
        </w:rPr>
        <w:t>E. 4.1</w:t>
      </w:r>
    </w:p>
    <w:p>
      <w:r>
        <w:t>Le recourant soutient que, contrairement à ce que l'autorité intimée a admis, les informations qu'il a données sur son activité dans les questionnaires et formules qu'il a remplies à l'adresse de l'intimée sont exactes. Partant, l'intimée n'aurait pas accordé les autorisations d'appliquer le taux de dette fiscale nette de respectivement 2% puis 2,3% sur la base de fausses indications ou de renseignements pouvant être mal interprétés. De son côté, le recourant aurait été en droit de se fier à ces autorisations, ce d'autant que l'intimée a édité durant les années 1994 à 1996 plusieurs brochures successives - dont la première, de 1994, ne mentionnait pas même l'activité de viticulteur -, ce qui n'était pas de nature à clarifier la situation. Le recourant se prévaut aussi de ce que l'intimée "était en possession de ses dossiers fiscaux depuis 1987 déjà" et savait ainsi exactement en quoi consistait son activité, qui ressortait, au demeurant, de son inscription au registre du commerce. Il fait valoir enfin qu'il ne peut plus récupérer auprès de ses clients les sommes qui lui sont réclamées, qu'il est âgé de plus de septante ans, qu'il a cessé d'exploiter son entreprise sans trouver de repreneur et qu'il est lourdement endetté vis-à-vis des banques.</w:t>
      </w:r>
    </w:p>
    <w:p>
      <w:r>
        <w:rPr>
          <w:b/>
        </w:rPr>
        <w:t>E. 4.2</w:t>
      </w:r>
    </w:p>
    <w:p>
      <w:r>
        <w:t>En vertu du principe de l'auto-taxation qui régit la perception de la TVA, il appartient aux assujettis de renseigner l'intimée de manière complète et exacte sur leur activité. En l'occurrence, le recourant a, quoi qu'il en dise, donné sur son activité des indications lacunaires, dans la mesure où il n'a pas précisé que le moût et le vin qu'il vendait étaient issus de sa propre production. En omettant cette précision, il donnait l'impression d'exercer une activité de marchand de vin plutôt que de vigneron-encaveur. Or, la distinction entre les deux activités est bien connue dans la branche et le recourant ne pouvait l'ignorer. Il ne pouvait non plus ignorer l'importance que cette distinction revêt en matière de TVA: s'il est vrai que la brochure de l'intimée de septembre 1994 sur les taux de dette fiscale nette ne mentionnait pas l'activité de viticulteur, celle-ci figurait dans la brochure éditée en juin 1995 - soit avant le début des périodes fiscales en cause -, dans la liste des activités soumises à un taux de dette fiscale nette de 4% (alors que le taux correspondant à celle de commerçant en vins et spiritueux était de 2%). Du reste, en cas de doute, il était loisible au recourant de se renseigner auprès de l'intimée, d'une association professionnelle, voire de collègues viticulteurs.</w:t>
      </w:r>
    </w:p>
    <w:p>
      <w:r>
        <w:t>Le recourant ne peut, aux fins d'atténuer le lien de causalité entre le caractère lacunaire des informations qu'il a données et l'erreur affectant les autorisations en cause, arguer que l'intimée pouvait et devait connaître la nature de son activité en consultant ses dossiers fiscaux ainsi que l'inscription au registre du commerce. En effet, dans un système d'auto-taxation, l'intimée n'a en principe pas à vérifier que les informations données par l'assujetti sont exactes et complètes. De plus, compte tenu du temps que cela aurait nécessité, on ne pouvait guère exiger d'elle qu'elle vérifie la nature de l'activité du recourant sur la base des données concernant les impôts directs, qui relèvent des cantons, soit d'une autre autorité. Il en va de même de l'inscription au registre du commerce, sans compter qu'il n'est pas certain que les effets de publicité de l' art. 933 CO , qui sont destinés à renforcer la sécurité des transactions commerciales, valent aussi dans les rapports de droit public, en l'occurrence entre une administration fiscale et un contribuable (c'est ainsi qu'en droit allemand, le § 15 Handelsgesetzbuch - disposition correspondant à l' art. 933 CO - n'est pas applicable dans ce type de relations, cf. p. ex. Karsten Schmidt, Handelsrecht, 4ème éd., Cologne etc. 1994, p. 405 et la jurisprudence citée).</w:t>
      </w:r>
    </w:p>
    <w:p>
      <w:r>
        <w:t>Au vu de ce qui précède, le recourant ne peut se prévaloir du principe de la bonne foi en vue d'obtenir que les taux de dette fiscale nette ressortant des autorisations accordées le 31 janvier 1995 et le 15 janvier 2001 lui soient applicables et qu'ainsi les reprises litigieuses soient annulées dans leur plus grande partie. Quant au fait qu'il ne puisse plus récupérer auprès de ses clients les montants d'impôt qui lui sont réclamés, il ne change rien à l'existence de la dette fiscale: selon la jurisprudence, les assujettis ne disposent pas d'un droit à pouvoir répercuter la TVA sur le consommateur final; ils ne peuvent par conséquent non plus obtenir d'être exonérés de l'impôt, lorsque le transfert de celui-ci n'est pas ou n'est plus possible ( ATF 123 II 385 consid. 8 p. 394; 2A.320/2002, Revue fiscale 58/2003 p. 797, RDAF 2004 II p. 100 consid. 5.2.1). La situation financière du recourant n'a pas davantage d'incidence sur sa dette fiscale. Sur demande, l'intimée peut en revanche accorder des facilités de paiement (plan de paiement). Au demeurant, la loi régissant la taxe sur la valeur ajoutée ( art. 51 LTVA ) a introduit la possibilité d'obtenir une remise d'impôt (alors que l'ordonnance du même nom ne connaissait pas cette institution) dans le cadre d'une procédure concordataire judiciaire. La question d'une remise éventuelle ne fait toutefois pas l'objet du présent litige.</w:t>
      </w:r>
    </w:p>
    <w:p>
      <w:r>
        <w:rPr>
          <w:b/>
        </w:rPr>
        <w:t>E. 5</w:t>
      </w:r>
    </w:p>
    <w:p>
      <w:r>
        <w:t>Les considérants qui précèdent conduisent au rejet du recours dans la mesure où il est recevable.</w:t>
      </w:r>
    </w:p>
    <w:p>
      <w:r>
        <w:t>Succombant, le recourant doit supporter les frais judiciaires ( art.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