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378/2016 vom 27. Juli 2017</w:t>
      </w:r>
    </w:p>
    <w:p>
      <w:r>
        <w:t>Bundesgericht, 2017-07-27, DE</w:t>
      </w:r>
    </w:p>
    <w:p>
      <w:r>
        <w:rPr>
          <w:b/>
        </w:rPr>
        <w:t xml:space="preserve">Quelle: </w:t>
      </w:r>
      <w:r>
        <w:t>https://mcp.opencaselaw.ch/entscheid/bger_2C_378_2016</w:t>
      </w:r>
    </w:p>
    <w:p>
      <w:r>
        <w:t>FR: TF 2C 378/2016 du 27 juillet 2017</w:t>
      </w:r>
    </w:p>
    <w:p>
      <w:r>
        <w:t>IT: TF 2C 378/2016 del 27 luglio 2017</w:t>
      </w:r>
    </w:p>
    <w:p>
      <w:pPr>
        <w:pStyle w:val="Heading2"/>
      </w:pPr>
      <w:r>
        <w:t>Regeste</w:t>
      </w:r>
    </w:p>
    <w:p>
      <w:r>
        <w:t>Widerruf der Niederlassungsbewilligung und Wegweisung infolge Straffälligkeit | Bürgerrecht und Ausländerrecht</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gegen Entscheide ausgeschlossen, welche Bewilligungen betreffen, auf die weder das Bundesrecht noch das Völkerrecht einen Anspruch einräumt ( Art. 83 lit. c Ziff. 2 BGG ). Wenn die betroffene Person in vertretbarer Weise dartut, dass potenziell ein Bewilligungsanspruch besteht, ist auf die Beschwerde einzutreten. Ob die Bewilligungsvoraussetzungen tatsächlich gegeben sind, bildet praxisgemäss Gegenstand der materiellen Beurteilung (vgl. BGE 139 I 330 E. 1.1 S. 332). Da grundsätzlich ein Anspruch auf das Fortbestehen der Niederlassungsbewilligung besteht ( BGE 135 II 1 E. 1.2.1 S. 4), ist gegen den angefochtenen Entscheid über den Widerruf der Niederlassungsbewilligung des Beschwerdeführers die Beschwerde in öffentlich-rechtlichen Angelegenheiten zulässig ( Art. 83 lit. c Ziff. 2 BGG e contrario). Auf die frist- ( Art. 100 Abs. 1 BGG ) und formgerecht ( Art. 42 BGG ) eingereichte Beschwerde ist einzutreten.</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w:t>
      </w:r>
    </w:p>
    <w:p>
      <w:r>
        <w:t>Durch die Verurteilung zu einer Freiheitsstrafe von 24 Monaten ist der Widerrufsgrund nach Art. 63 Abs. 1 lit. b AuG (SR 142.20) i.V.m. Art. 62 lit. b AuG erfüllt, was der Beschwerdeführer nicht in Abrede stellt. Zu prüfen bleibt die Verhältnismässigkeit der Massnahme im Sinn von Art. 96 Abs. 1 AuG bzw. Art. 8 Ziff. 2 EMRK , wobei insbesondere die Art und Schwere der vom Betroffenen begangenen Straftaten und des Verschuldens, der Grad der Integration bzw. die Dauer der bisherigen Anwesenheit in der Schweiz sowie die dem Betroffenen und seiner Familie drohenden Nachteile zu berücksichtigen sind. Die Vorinstanz hat die rechtlichen Grundlagen sowie die Rechtsprechung zur Interessenabwägung (insbesondere BGE 139 I 16 E. 2.4 und 2.5 S. 149 ff. ; 139 I 31 E. 2 S. 32 ff.) zutreffend wiedergegeben; darauf wird verwiesen.</w:t>
      </w:r>
    </w:p>
    <w:p>
      <w:r>
        <w:rPr>
          <w:b/>
        </w:rPr>
        <w:t>E. 3.1</w:t>
      </w:r>
    </w:p>
    <w:p>
      <w:r>
        <w:t>Das kantonale Gericht hat in ausführlicher Abwägung der massgeblichen öffentlichen und privaten Interessen festgehalten, es bestehe aufgrund der Delinquenz und der Rückfallgefahr ein erhebliches öffentliches Interesse an der Beendigung des Aufenthalts des Beschwerdeführers. Dieses sei im konkreten Fall stärker zu gewichten als das private Interesse des insgesamt nur durchschnittlich integrierten Beschwerdeführers am Verbleib in der Schweiz. Ihm persönlich sei eine Rückkehr in sein Heimat- und Geburtsland ohne Weiteres zumutbar; da seine Ehefrau erst seit kurzer Zeit in der Schweiz sei, sei es auch ihr zumutbar, ihm zusammen mit der Tochter in das gemeinsame Heimatland zu folgen. Somit sei nicht zwingend mit einer Trennung der Familie zu rechnen, zudem hätte die Ehefrau bereits im Zeitpunkt der Heirat nicht mit einem Verbleib in der Schweiz rechnen dürfen. Der Widerruf der Niederlassungsbewilligung sei daher auch unter Berücksichtigung des Anspruchs auf Familienleben nach Art. 8 EMRK und Art. 13 Abs. 1 BV und des Kindeswohl verhältnismässig.</w:t>
      </w:r>
    </w:p>
    <w:p>
      <w:r>
        <w:rPr>
          <w:b/>
        </w:rPr>
        <w:t>E. 3.2</w:t>
      </w:r>
    </w:p>
    <w:p>
      <w:r>
        <w:t>Der Beschwerdeführer macht geltend, sich in der Untersuchungshaft im Sommer 2012 völlig gewandelt zu haben, nunmehr in einer stabilen Ehe und mit einer Tochter zu leben und daher nicht mehr rückfallgefährdet zu sein. Das kantonale Gericht hat indessen ausführlich dargelegt, weshalb trotz diesen für den Beschwerdeführer sprechenden Argumenten weiterhin eine Rückfallgefahr nicht auszuschliessen ist. Der Beschwerdeführer bringt nichts vor, was diese vorinstanzlichen Erwägungen als willkürlich oder sonstwie bundesrechtswidrig erscheinen lassen würde.</w:t>
      </w:r>
    </w:p>
    <w:p>
      <w:r>
        <w:rPr>
          <w:b/>
        </w:rPr>
        <w:t>E. 3.3</w:t>
      </w:r>
    </w:p>
    <w:p>
      <w:r>
        <w:t>Die Vorinstanz qualifizierte die Integration des Beschwerdeführers als durchschnittlich. Entgegen seinen Ausführungen rechtfertigt es sich auch unter Berücksichtigung der Tatsache, dass er seinen finanziellen Verpflichtungen nachkommt und in den letzten Jahren nicht mehr straffällig geworden ist, noch nicht, von einer überdurchschnittlichen Integration auszugehen.</w:t>
      </w:r>
    </w:p>
    <w:p>
      <w:r>
        <w:rPr>
          <w:b/>
        </w:rPr>
        <w:t>E. 3.4</w:t>
      </w:r>
    </w:p>
    <w:p>
      <w:r>
        <w:t>Dem Beschwerdeführer ist insofern beizupflichten, als durch den angefochtenen Entscheid sein Anspruch auf Schutz des Familienlebens nach Art. 8 EMRK und Art. 13 Abs. 1 BV eingeschränkt wird. Wie die Vorinstanz indessen nachvollziehbar erwogen hat und vom Beschwerdeführer nicht substantiiert bestritten wird, wäre es seiner erst seit dem Jahre 2013 in der Schweiz lebenden Ehefrau zumutbar, ihm zusammen mit seiner Tochter in das gemeinsame Heimatland zu folgen. Somit verunmöglicht der angefochtene Entscheid nicht ein Familienleben des Beschwerdeführers mit seiner Ehefrau und seiner Tochter. Aus Art. 8 EMRK bzw. Art. 13 BV ergibt sich weder ein Recht auf Aufenthalt in einem bestimmten Staat noch auf Wahl des für das partnerschaftliche Zusammenleben am geeignetsten erscheinenden Orts (vgl. auch Urteil 2C_949/2016 vom 30. Dezember 2016 E. 3.4). Der angefochtene Entscheid erscheint daher auch mit Blick auf Art. 8 EMRK bzw. Art. 13 BV nicht als unverhältnismässig. Es ist demnach nicht zu beanstanden, dass die Vorinstanz das öffentliche Interesse an der Beendigung des Aufenthaltes des Beschwerdeführers als gewichtiger einstufte als sein privates Interesse an einem Verbleib in der Schweiz. Die Beschwerde ist somit abzuweisen.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