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2C_378/2013 vom 21. August 2013</w:t>
      </w:r>
    </w:p>
    <w:p>
      <w:r>
        <w:t>Bundesgericht, 2013-08-21, IT</w:t>
      </w:r>
    </w:p>
    <w:p>
      <w:r>
        <w:rPr>
          <w:b/>
        </w:rPr>
        <w:t xml:space="preserve">Quelle: </w:t>
      </w:r>
      <w:r>
        <w:t>https://mcp.opencaselaw.ch/entscheid/bger_2C_378_2013</w:t>
      </w:r>
    </w:p>
    <w:p>
      <w:r>
        <w:t>FR: TF 2C_378/2013 du 21 août 2013</w:t>
      </w:r>
    </w:p>
    <w:p>
      <w:r>
        <w:t>IT: TF 2C_378/2013 del 21 agosto 2013</w:t>
      </w:r>
    </w:p>
    <w:p>
      <w:pPr>
        <w:pStyle w:val="Heading2"/>
      </w:pPr>
      <w:r>
        <w:t>Erwägungen</w:t>
      </w:r>
    </w:p>
    <w:p>
      <w:r>
        <w:rPr>
          <w:b/>
        </w:rPr>
        <w:t>E. 1.1</w:t>
      </w:r>
    </w:p>
    <w:p>
      <w:r>
        <w:t>Presentata in tempo utile (art. 46 cpv. 1 lett. a e 100 cpv. 1 LTF)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1.2</w:t>
      </w:r>
    </w:p>
    <w:p>
      <w:r>
        <w:t>Cittadino italiano, il ricorrente può nel contempo appellarsi all'Accordo del 21 giugno 1999 tra la Comunità europea e i suoi Stati membri, da una parte, e la Confederazione Svizzera, dall'altra, sulla libera circolazione delle persone (ALC; RS 0.142.112.681) per far valere un diritto a soggiornare in Svizzera, per svolgervi un'attività lucrativa (sentenza 2C_980/2011 del 22 marzo 2012 consid. 1.1 con rinvii).</w:t>
      </w:r>
    </w:p>
    <w:p>
      <w:r>
        <w:rPr>
          <w:b/>
        </w:rPr>
        <w:t>E. 2.1</w:t>
      </w:r>
    </w:p>
    <w:p>
      <w:r>
        <w:t>Con ricorso in materia di diritto pubblico può tra l'altro venire censurata la violazione del diritto federale ( art. 95 lett. a LTF ).</w:t>
      </w:r>
    </w:p>
    <w:p>
      <w:r>
        <w:t>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w:t>
      </w:r>
    </w:p>
    <w:p>
      <w:r>
        <w:t>A meno che non ne dia motivo la decisione impugnata, condizione il cui adempimento dev'essere dimostrato dal ricorrente, il Tribunale federale non tiene inoltre conto di fatti o mezzi di prova nuovi, i quali non possono in ogni caso essere posteriori al giudizio impugnato ( art. 99 cpv. 1 LTF ; DTF 133 IV 343 consid. 2.1 pag. 343 seg.).</w:t>
      </w:r>
    </w:p>
    <w:p>
      <w:r>
        <w:rPr>
          <w:b/>
        </w:rPr>
        <w:t>E. 3</w:t>
      </w:r>
    </w:p>
    <w:p>
      <w:r>
        <w:t>La procedura riguarda la revoca del permesso di domicilio conferito a suo tempo all'insorgente.</w:t>
      </w:r>
    </w:p>
    <w:p>
      <w:r>
        <w:rPr>
          <w:b/>
        </w:rPr>
        <w:t>E. 3.1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w:t>
      </w:r>
    </w:p>
    <w:p>
      <w:r>
        <w:t>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3.2</w:t>
      </w:r>
    </w:p>
    <w:p>
      <w:r>
        <w:t>Siccome il permesso di domicilio non è regolato nell'Accordo sulla libera circolazione delle persone e viene concesso in base alla legge federale sugli stranieri, i motivi indicati sono validi anche per la revoca di un'autorizzazione di domicilio CE/AELS (art. 2 cpv. 2 LStr; art. 5 e 23 cpv. 2 dell'ordinanza del 22 maggio 2002 sull'introduzione della libera circolazione delle persone [OLCP; RS 142.203]; sentenza 2C_831/2010 del 27 maggio 2011 consid. 2.2). In simile contesto, assume ciò nondimeno rilievo l' art. 5 Allegato I ALC , a norma del quale i diritti conferiti dall'Accordo possono essere limitati soltanto da misure giustificate da motivi di ordine pubblico, pubblica sicurezza e sanità.</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per una panoramica della giurisprudenza più recente, cfr. inoltre la sentenza 2C_238/2012 del 30 luglio 2012 consid. 3.1).</w:t>
      </w:r>
    </w:p>
    <w:p>
      <w:r>
        <w:rPr>
          <w:b/>
        </w:rPr>
        <w:t>E. 3.3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inoltre anche nell'ottica di questa norma ( DTF 135 II 377 consid. 4.3 pag. 381 seg.; sentenza della Corte europea dei diritti dell'uomo in re</w:t>
      </w:r>
    </w:p>
    <w:p>
      <w:r>
        <w:t>Trabelsi contro Germania del 13 ottobre 2011, n. 41548/06, § 53 segg.).</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fattispecie che non è in casu data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w:t>
      </w:r>
    </w:p>
    <w:p>
      <w:r>
        <w:t>Dalia contro Francia del 19 febbraio 1998, Recueil CourEDH 1998-I pag.76 § 50 segg.).</w:t>
      </w:r>
    </w:p>
    <w:p>
      <w:r>
        <w:t>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4</w:t>
      </w:r>
    </w:p>
    <w:p>
      <w:r>
        <w:t>Tenuto conto delle pene privative della libertà pronunciate nei suoi confronti il 15 febbraio 2008 e il 1° dicembre 2011, il ricorrente a ragione non mette in discussione la sussistenza di un motivo di revoca del suo permesso di domicilio (art. 63 cpv. 2 in relazione con l'art. 62 lett. b LStr; precedente consid. 3.1).</w:t>
      </w:r>
    </w:p>
    <w:p>
      <w:r>
        <w:t>Egli ritiene tuttavia che la misura di revoca decisa dalla Sezione della popolazione e in seguito confermata sia dal Consiglio di Stato che dal Tribunale amministrativo del Cantone Ticino leda l' art. 5 Allegato I ALC e il principio della proporzionalità.</w:t>
      </w:r>
    </w:p>
    <w:p>
      <w:r>
        <w:rPr>
          <w:b/>
        </w:rPr>
        <w:t>E. 5.1</w:t>
      </w:r>
    </w:p>
    <w:p>
      <w:r>
        <w:t>In base ai vincolanti accertamenti contenuti nel giudizio impugnato, il ricorrente si è in passato più volte reso colpevole di comportamenti di rilievo penale, sanzionati come tali dalle autorità competenti.</w:t>
      </w:r>
    </w:p>
    <w:p>
      <w:r>
        <w:t>Come già dettagliatamente indicato, egli è in effetti stato condannato una prima volta, il 29 ottobre 2001, per trascuranza degli obblighi di mantenimento nei confronti della figlia; una seconda volta, il 21 febbraio 2005, per vie di fatto; una terza volta, il 6 giugno 2005, per violazione della LAVS. Nel seguito, ha poi subito due ulteriori condanne: una prima, il 15 febbraio 2008, per ripetuto furto, ripetuta violazione di domicilio, ripetuto danneggiamento (in tre occasioni, tra il 28 ottobre e il 19 dicembre 2005), trascuranza degli obblighi di mantenimento e vie di fatto (1° novembre 2006); una seconda, il 1° dicembre 2011, per istigazione a rapina e istigazione a lesioni semplici tentate (2008).</w:t>
      </w:r>
    </w:p>
    <w:p>
      <w:r>
        <w:rPr>
          <w:b/>
        </w:rPr>
        <w:t>E. 5.2</w:t>
      </w:r>
    </w:p>
    <w:p>
      <w:r>
        <w:t>Riferendosi alle due condanne più recenti - senza però dimenticare i precedenti di cui si è detto - il Tribunale amministrativo ha sottolineato, a giusta ragione, la gravità delle azioni delittuose di cui il ricorrente si è reso colpevole.</w:t>
      </w:r>
    </w:p>
    <w:p>
      <w:r>
        <w:t>Occorre infatti rilevare che in entrambe le situazioni alla base di queste condanne, egli ha pianificato nel dettaglio le azioni delittuose da compiere, che gli atti rimproveratigli hanno comportato anche l'esecuzione di un furto usando violenza e che gli stessi hanno portato ad infliggergli delle pene che sorpassano del resto il limite di un anno a partire dal quale una pena privativa della libertà è considerata come di lunga durata ( DTF 135 II 377 consid. 4.2 pag. 381).</w:t>
      </w:r>
    </w:p>
    <w:p>
      <w:r>
        <w:rPr>
          <w:b/>
        </w:rPr>
        <w:t>E. 5.3</w:t>
      </w:r>
    </w:p>
    <w:p>
      <w:r>
        <w:t>Per contro, non condivisibile è la conclusione secondo cui, vista la gravità dei reati commessi negli ultimi anni, il ricorrente rappresenta ancora una minaccia effettiva, attuale ed abbastanza grave per l'ordine pubblico ai sensi dell' art. 5 Allegato I ALC e la decisione di revoca è pertanto conforme anche a tale disposto (giudizio impugnato, consid. 3.4).</w:t>
      </w:r>
    </w:p>
    <w:p>
      <w:r>
        <w:t>Nell'ambito della valutazione da effettuare dal profilo della norma convenzionale (precedente consid. 3.2), il Tribunale amministrativo non poteva in effetti omettere di considerare che i reati più gravi - tra cui figura certo l'istigazione al compimento di un furto usando violenza, non però il compimento di ulteriori gravi atti quali ad esempio reati a carattere sessuale o importanti violazioni della LStup - si concentrano in un lasso di tempo di circa tre anni (tra la fine del 2005 e la fine del 2008, precedente consid. 5.1) e che, dopo averli commessi, il comportamento del ricorrente ha subito una sostanziale e provata svolta.</w:t>
      </w:r>
    </w:p>
    <w:p>
      <w:r>
        <w:rPr>
          <w:b/>
        </w:rPr>
        <w:t>E. 5.4</w:t>
      </w:r>
    </w:p>
    <w:p>
      <w:r>
        <w:t>Da quanto risulta dal giudizio impugnato rispettivamente dai documenti ai quali fa riferimento, una volta uscito di prigione - nel febbraio 2009, dopo esservi stato per 37 giorni in regime di carcere preventivo - il ricorrente ha infatti tenuto un comportamento corretto ed ha inoltre raggiunto stabilità: dal punto di vista lavorativo, finanziario e affettivo.</w:t>
      </w:r>
    </w:p>
    <w:p>
      <w:r>
        <w:t>Sul piano professionale, dal 14 settembre 2009 egli ha trovato un impiego stabile, svolto con impegno e con piena soddisfazione del suo datore di lavoro. Su quello affettivo ha nel contempo modificato il proprio atteggiamento anche nei confronti dei figli, segnatamente di D.________, che risulta ora sostenere in maniera regolare anche economicamente.</w:t>
      </w:r>
    </w:p>
    <w:p>
      <w:r>
        <w:t>Sempre dal punto di vista finanziario, occorre infine rilevare che l'insorgente sta pure regolarmente versando l'importo mensile concordato a suo tempo con l'Ufficio del sostegno sociale e dell'inserimento a titolo di rimborso della somma anticipata dallo Stato per il pagamento degli alimenti.</w:t>
      </w:r>
    </w:p>
    <w:p>
      <w:r>
        <w:rPr>
          <w:b/>
        </w:rPr>
        <w:t>E. 5.5</w:t>
      </w:r>
    </w:p>
    <w:p>
      <w:r>
        <w:t>A torto non considerata nell'apprezzamento complessivo che la Corte cantonale era chiamata a compiere per valutare la minaccia da lui costituita (precedente consid. 3.2), tale sostanziale svolta nel comportamento del ricorrente trova inoltre conferma nella decisione presa il 1° dicembre 2011 dai Giudici del Tribunale penale cantonale di comminargli una pena sospesa, nonostante fossero confrontati con una fattispecie che ricadeva sotto l' art. 42 cpv. 2 CP .</w:t>
      </w:r>
    </w:p>
    <w:p>
      <w:r>
        <w:t>Se infatti è vero che la condanna ad una pena sospesa non presuppone il sussistere di una prognosi positiva, ma solo l'assenza di una prognosi negativa, e che - considerata l'incertezza legata ad una simile prognosi - la sospensione costituisce dunque la regola (42 cpv. 1 CP; DTF 134 IV 1 consid. 4.2.2 pag. 5 seg.; sentenze 2C_845/2012 del 13 febbraio 2013 consid. 4.3.3 e 2C_4/2011 del 15 dicembre 2011 consid. 3.4.2), ciò non vale invece quando si sia confrontati - come nel caso in esame - con un imputato che ha commesso nuovi reati nei cinque anni successivi alla sua condanna ad una pena detentiva superiore a sei mesi ( art. 42 cpv. 2 CP ).</w:t>
      </w:r>
    </w:p>
    <w:p>
      <w:r>
        <w:t>In una tale costellazione, l'assenza di una prognosi negativa non è infatti sufficiente; occorre bensì che il timore di un comportamento recidivo, che si basa sull'infrazione nuovamente perpetrata, sia compensato da circostanze particolarmente favorevoli, che secondo giurisprudenza risultano date se l'infrazione da giudicare non ha rapporto alcuno con le infrazioni commesse in precedenza rispettivamente quando - per l'appunto - le condizioni di vita del condannato si sono modificate in maniera particolarmente positiva e sussiste pertanto un'aspettativa concreta e fondata che egli si sia emendato ( DTF 134 IV 1 consid. 4.2.3 pag. 6 seg.; sentenza 6B_160/2012 del 5 aprile 2013 consid. 4.2).</w:t>
      </w:r>
    </w:p>
    <w:p>
      <w:r>
        <w:rPr>
          <w:b/>
        </w:rPr>
        <w:t>E. 5.6</w:t>
      </w:r>
    </w:p>
    <w:p>
      <w:r>
        <w:t>Nella fattispecie, i positivi aspetti evidenziati e il riconoscimento di circostanze particolarmente favorevoli ai sensi dell' art. 42 cpv. 2 CP , necessario per la condanna ad un'ulteriore pena sospesa, avrebbero pertanto dovuto portare la Corte cantonale a decidere altrimenti e a constatare l'illiceità del provvedimento di revoca.</w:t>
      </w:r>
    </w:p>
    <w:p>
      <w:r>
        <w:t>Per i motivi indicati, il ricorrente non poteva infatti più essere considerato una minaccia effettiva, attuale e abbastanza grave per l'ordine pubblico ai sensi dell' art. 5 Allegato I ALC .</w:t>
      </w:r>
    </w:p>
    <w:p>
      <w:r>
        <w:t>Occorre tuttavia sottolineare che se egli dovesse tornare a delinquere si esporrebbe allora molto verosimilmente a misure di allontanamento.</w:t>
      </w:r>
    </w:p>
    <w:p>
      <w:r>
        <w:rPr>
          <w:b/>
        </w:rPr>
        <w:t>E. 6.1</w:t>
      </w:r>
    </w:p>
    <w:p>
      <w:r>
        <w:t>Il ricorso dev'essere quindi accolto e la sentenza impugnata annullata, senza che occorra pronunciarsi sulla questione della proporzionalità del provvedimento contestato.</w:t>
      </w:r>
    </w:p>
    <w:p>
      <w:r>
        <w:rPr>
          <w:b/>
        </w:rPr>
        <w:t>E. 6.2</w:t>
      </w:r>
    </w:p>
    <w:p>
      <w:r>
        <w:t>Di conseguenza, il permesso di domicilio a suo tempo rilasciato al ricorrente non gli viene revocato. Da parte sua, il Tribunale amministrativo dovrà nuovamente esprimersi sulle spese e sulle ripetibili della sede cantonale ( art. 68 cpv. 5 e art. 107 cpv. 2 LTF ; sentenza 2C_173/2011 del 24 giugno 2011 consid. 6.2).</w:t>
      </w:r>
    </w:p>
    <w:p>
      <w:r>
        <w:rPr>
          <w:b/>
        </w:rPr>
        <w:t>E. 6.3</w:t>
      </w:r>
    </w:p>
    <w:p>
      <w:r>
        <w:t>Soccombente, lo Stato del Cantone Ticino è dispensato dal pagamento delle spese giudiziarie ( art. 66 cpv. 4 LTF ). Esso dovrà però corrispondere al ricorrente, assistito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