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377/2010 vom 28. Juli 2010</w:t>
      </w:r>
    </w:p>
    <w:p>
      <w:r>
        <w:t>Bundesgericht, 2010-07-28, FR</w:t>
      </w:r>
    </w:p>
    <w:p>
      <w:r>
        <w:rPr>
          <w:b/>
        </w:rPr>
        <w:t xml:space="preserve">Quelle: </w:t>
      </w:r>
      <w:r>
        <w:t>https://mcp.opencaselaw.ch/entscheid/bger_2C_377_2010</w:t>
      </w:r>
    </w:p>
    <w:p>
      <w:r>
        <w:t>FR: TF 2C 377/2010 du 28 juillet 2010</w:t>
      </w:r>
    </w:p>
    <w:p>
      <w:r>
        <w:t>IT: TF 2C 377/2010 del 28 luglio 2010</w:t>
      </w:r>
    </w:p>
    <w:p>
      <w:pPr>
        <w:pStyle w:val="Heading2"/>
      </w:pPr>
      <w:r>
        <w:t>Regeste</w:t>
      </w:r>
    </w:p>
    <w:p>
      <w:r>
        <w:t>Autorisation de séjour | Droit de cité et droit des étrangers</w:t>
      </w:r>
    </w:p>
    <w:p>
      <w:pPr>
        <w:pStyle w:val="Heading2"/>
      </w:pPr>
      <w:r>
        <w:t>Erwägungen</w:t>
      </w:r>
    </w:p>
    <w:p>
      <w:r>
        <w:rPr>
          <w:b/>
        </w:rPr>
        <w:t>E. 1</w:t>
      </w:r>
    </w:p>
    <w:p>
      <w:r>
        <w:t>La procédure de révocation d'autorisation de séjour qui est à la base du présent litige a été engagée le 12 août 2009, soit après l'entrée en vigueur, le 1er janvier 2008, de la loi fédérale sur les étrangers. Il y a donc lieu d'appliquer le nouveau droit (art. 126 al. 1 LEtr a contrario; cf. arrêts 2C_114/2009 du 4 août 2009 consid. 2.3, 2C_98/2009 du 10 juin 2009 consid. 1.4 et 2C_745/2008 du 24 février 2009 consid. 1.2.3).</w:t>
      </w:r>
    </w:p>
    <w:p>
      <w:r>
        <w:rPr>
          <w:b/>
        </w:rPr>
        <w:t>E. 2</w:t>
      </w:r>
    </w:p>
    <w:p>
      <w:r>
        <w:t>Le Tribunal fédéral examine d'office sa compétence ( art. 29 al. 1 LTF ). Il contrôle librement la recevabilité des recours qui lui sont soumis ( ATF 135 III 1 consid. 1.1 p. 3).</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2.1.1</w:t>
      </w:r>
    </w:p>
    <w:p>
      <w:r>
        <w:t>Selon l'art. 42 al. 1 LEtr, le conjoint d'un ressortissant suisse a droit à l'octroi d'une autorisation de séjour et à la prolongation de sa durée de validité à condition de vivre en ménage commun avec lui. Pour juger de la recevabilité du recours en matière de droit public, seule est déterminante la question de savoir si un mariage existe encore formellement (cf. arrêts 2C_864/2008 du 24 février 2009 consid. 2.1, 2C_117/2008 du 17 avril 2008 consid. 3.1). En l'occurrence, le recourant est toujours marié à une ressortissante suisse, de sorte que la voie du recours en matière de droit public lui est ouverte.</w:t>
      </w:r>
    </w:p>
    <w:p>
      <w:r>
        <w:rPr>
          <w:b/>
        </w:rPr>
        <w:t>E. 2.1.2</w:t>
      </w:r>
    </w:p>
    <w:p>
      <w:r>
        <w:t>En outre, le recourant a fait valoir les motifs exceptionnels de l'art. 50 al. 1 let. b LEtr. En pareilles circonstances, il convient d'admettre un droit, sous l'angle de l' art. 83 let . c ch. 2 LTF, permettant au recourant de former un recours en matière de droit public, le point de savoir si c'est ou non à juste titre que les juges cantonaux ont nié l'existence des raisons personnelles majeures au sens de l'art. 50 al. 1 let. b LEtr ressortissant au fond et non à la recevabilité (cf. arrêt 2C_460/2009 du 4 novembre 2009 consid. 2.1.1 non pub. aux ATF 136 II 1 ).</w:t>
      </w:r>
    </w:p>
    <w:p>
      <w:r>
        <w:rPr>
          <w:b/>
        </w:rPr>
        <w:t>E. 2.2</w:t>
      </w:r>
    </w:p>
    <w:p>
      <w:r>
        <w:t>Au surplus, dirigé contre un arrêt rendu en dernière instance cantonale par un tribunal supérieur (cf. art. 86 al. 1 let . d et al. 2 LTF), le recours a été déposé en temps utile (cf. art. 100 al. 1 LTF ) et dans les formes prescrites (cf. art. 42 LTF ) par le destinataire de l'acte attaqué qui a un intérêt digne de protection à son annulation ou à sa modification (cf. art. 89 al. 1 LTF ). Il y a donc lieu d'entrer en matière.</w:t>
      </w:r>
    </w:p>
    <w:p>
      <w:r>
        <w:rPr>
          <w:b/>
        </w:rPr>
        <w:t>E. 2.3</w:t>
      </w:r>
    </w:p>
    <w:p>
      <w:r>
        <w:t>Saisi d'un recours en matière de droit public, le Tribunal fédéral examine librement la violation du droit fédéral (cf. art. 95 let. a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En l'espèce, il est constant que les époux ne cohabitent plus depuis 2007, leur mariage remontant au 22 décembre 2006. Par conséquent, le recourant ne peut plus se prévaloir d'un droit à une autorisation de séjour sur la base de l'art. 42 al. 1 LEtr. L'art. 49 LEtr prévoit cependant une exception à cette exigence du ménage commun lorsque la communauté familiale est maintenue et que des raisons majeures justifiant l'existence de domiciles séparés peuvent être invoquées. Tel n'est pas le cas en la cause, l'épouse ayant d'ailleurs introduit le 13 septembre 2007 une action en divorce.</w:t>
      </w:r>
    </w:p>
    <w:p>
      <w:r>
        <w:rPr>
          <w:b/>
        </w:rPr>
        <w:t>E. 4.1</w:t>
      </w:r>
    </w:p>
    <w:p>
      <w:r>
        <w:t>Selon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L'art. 50 al. 2 LEtr - repris du reste à l'art. 77 al. 2 de l'ordonnance du 24 octobre 2007 relative à l'admission, au séjour et à l'exercice d'une activité lucrative (OASA; RS 142.201) - précise qu'il existe de telles raisons notamment lorsque le conjoint est victime de violence conjugale et que la réintégration sociale dans le pays de provenance semble fortement compromise.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w:t>
      </w:r>
    </w:p>
    <w:p>
      <w:r>
        <w:rPr>
          <w:b/>
        </w:rPr>
        <w:t>E. 4.2</w:t>
      </w:r>
    </w:p>
    <w:p>
      <w:r>
        <w:t>En l'espèce, l'union conjugale n'a pas duré trois ans, de sorte que le recourant ne peut déduire aucun droit de l'art. 50 al. 1 let. a LEtr.</w:t>
      </w:r>
    </w:p>
    <w:p>
      <w:r>
        <w:rPr>
          <w:b/>
        </w:rPr>
        <w:t>E. 4.3</w:t>
      </w:r>
    </w:p>
    <w:p>
      <w:r>
        <w:t>A l'appui de son recours, l'intéressé allègue qu'il aurait fait l'objet de violences conjugales (au sens de l'art. 50 al. 1 let. b et al. 2 LEtr), "comme le confirmera un rapport médical de sa thérapeute". Ce document n'ayant pas été produit devant la dernière instance cantonale, il est vain de tenter de l'invoquer devant le Tribunal fédéral, puisqu'il s'agit de nova irrecevables (cf. art. 99 al. 1 LTF ). Le fait qu'il se serait une fois retrouvé enfermé dehors par son épouse qui aurait fait changer le cylindre de la porte d'entrée n'a pas été retenu par le Tribunal cantonal. Le recourant ne motive nullement de manière suffisante, au regard des exigences de l' art. 106 al. 2 LTF , en quoi l'appréciation des preuves à laquelle a procédé le Tribunal cantonal serait arbitraire; de ce point de vue, le grief est irrecevable. En outre, quand bien même ce fait serait avéré, il n'atteindrait en aucune façon le degré de gravité requis pour admettre un droit de séjour exceptionnel en Suisse fondé sur l'art. 50 al. 1 let. b LEtr (cf. ATF 136 II 1 consid. 5.3 p. 4). Le vice ne serait ainsi de toute manière pas susceptible d'influer sur le sort de la cause au sens de l'art. 97 al. 1 in fine LTF.</w:t>
      </w:r>
    </w:p>
    <w:p>
      <w:r>
        <w:rPr>
          <w:b/>
        </w:rPr>
        <w:t>E. 4.4</w:t>
      </w:r>
    </w:p>
    <w:p>
      <w:r>
        <w:t>Pour le reste, il suffit de renvoyer aux considérants explicites et convaincants du Tribunal cantonal (cf. art. 109 al. 3 LTF ). Il en va notamment ainsi s'agissant de la prise en compte de la situation économique prévalant au Cameroun qui ne justifie pas l'octroi d'une autorisation fondée sur l'art. 50 al. 2 LEtr (s'agissant de la condition que la réintégration sociale dans le pays de provenance semble fortement compromise). C'est dès lors à juste titre que le Tribunal cantonal est arrivé à la conclusion que la poursuite du séjour en Suisse du recourant ne s'imposait pas pour des raisons personnelles majeures. En rendant l'arrêt attaqué, le Tribunal cantonal a donc respecté le droit fédéral.</w:t>
      </w:r>
    </w:p>
    <w:p>
      <w:r>
        <w:rPr>
          <w:b/>
        </w:rPr>
        <w:t>E. 5</w:t>
      </w:r>
    </w:p>
    <w:p>
      <w:r>
        <w:t>Le recours est ainsi manifestement mal fondé et en partie irrecevable. 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