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376/2014 vom 28. Oktober 2014</w:t>
      </w:r>
    </w:p>
    <w:p>
      <w:r>
        <w:t>Bundesgericht, 2014-10-28, DE</w:t>
      </w:r>
    </w:p>
    <w:p>
      <w:r>
        <w:rPr>
          <w:b/>
        </w:rPr>
        <w:t xml:space="preserve">Quelle: </w:t>
      </w:r>
      <w:r>
        <w:t>https://mcp.opencaselaw.ch/entscheid/bger_2C_376_2014</w:t>
      </w:r>
    </w:p>
    <w:p>
      <w:r>
        <w:t>FR: TF 2C 376/2014 du 28 octobre 2014</w:t>
      </w:r>
    </w:p>
    <w:p>
      <w:r>
        <w:t>IT: TF 2C 376/2014 del 28 ottobre 2014</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Der Beschwerdeführer macht in vertretbarer Weise einen Anspruch auf Verlängerung seiner Aufenthaltsbewilligung nach Art. 8 EMRK (Beziehung zu seinen Kindern) geltend. Auf die form- und fristgerecht (vgl. Art. 42 Abs. 2 und Art. 100 Abs. 1 BGG ) erhobene Beschwerde in öffentlich-rechtlichen Angelegenheiten des durch den vorinstanzlichen Entscheid unmittelbar betroffenen Beschwerdeführers ( Art. 89 Abs. 1 BGG ) ist einzutreten.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139 II 404 E. 10.1 S. 445 ; 138 I 274 E. 1.6 S. 280 f. ; 137 I 58 E. 4.1.2 S. 62).</w:t>
      </w:r>
    </w:p>
    <w:p>
      <w:r>
        <w:rPr>
          <w:b/>
        </w:rPr>
        <w:t>E. 1.3</w:t>
      </w:r>
    </w:p>
    <w:p>
      <w:r>
        <w:t>Neue tatsächliche Vorbringen und Beweismittel sind im bundesgerichtlichen Verfahren grundsätzlich unzulässig ( Art. 99 BGG ). Auf das Scheidungsurteil des Bezirksgerichts Zürich, das nach dem vorinstanzlichen Urteil ergangen ist, und dem Bundesgericht am 25. August 2014 nachgereicht ist, sowie auf einen Nachweis über Deutschkenntnisse, der bisher nicht ins Recht gelegt wurde, kann nicht weiter eingegangen werden. Es handelt sich um unzulässige Noven (vgl. BGE 139 III 120 E. 3.1.2 S. 123; 138 II 393 E. 3.5 S. 397 ; 135 I 221 E. 5.2.4 S. 229; 133 IV 342 E. 2.1 S. 343 f.; je mit Hinweisen).</w:t>
      </w:r>
    </w:p>
    <w:p>
      <w:r>
        <w:rPr>
          <w:b/>
        </w:rPr>
        <w:t>E. 2.1</w:t>
      </w:r>
    </w:p>
    <w:p>
      <w:r>
        <w:t>Der Beschwerdeführer, der mehr als fünf Jahre in einer ehelichen Gemeinschaft lebte, hat in Anbetracht von Art. 43 Abs. 2 AuG grundsätzlich (auch) Anspruch auf Verlängerung seiner Aufenthaltsbewilligung. Dieser Anspruch steht allerdings unter dem Vorbehalt, dass keine Widerrufsgründe nach Art. 62 AuG vorliegen (Art. 51 Abs. 2 lit. b AuG). Der Beschwerdeführer rügt, die Vorinstanz sei zu Unrecht davon ausgegangen, es würden Widerrufsgründe im Sinne von Art. 62 AuG vorliegen. Er bringt vor, eine Nichtverlängerung der Aufenthaltsbewilligung sei unverhältnismässig und macht geltend, ihm stünde ein Anspruch auf weiteren Verbleib in der Schweiz nach Art. 8 EMRK (Schutz des Familienlebens) zu.</w:t>
      </w:r>
    </w:p>
    <w:p>
      <w:r>
        <w:rPr>
          <w:b/>
        </w:rPr>
        <w:t>E. 2.2</w:t>
      </w:r>
    </w:p>
    <w:p>
      <w:r>
        <w:t>Wie die Vorinstanz zutreffend ausführt, erlaubt Art. 62 lit. c AuG den Widerruf der Bewilligung, wenn eine ausländische Person erheblich oder wiederholt gegen die öffentliche Sicherheit und Ordnung in der Schweiz oder im Ausland verstossen hat oder diese gefährdet oder die innere oder die äussere Sicherheit gefährdet. Art. 80 Abs. 1 VZAE enthält eine nicht abschliessende Aufzählung von Handlungen, die einen Verstoss gegen die öffentliche Sicherheit und Ordnung darstellen. Dies ist etwa der Fall bei einer Missachtung von gesetzlichen Vorschriften und behördlichen Verfügungen ( Art. 80 Abs. 1 lit. a VZAE ). Nach der Praxis erfolgt ein Bewilligungswiderruf gemäss Art. 62 lit. c AuG unter anderem, wenn eine ausländische Person durch ihr Handeln eine Summierung von Verstössen begangen hat, die für sich genommen für einen Widerruf nicht ausreichen würden, und sich von strafrechtlichen Massnahmen nicht beeindrucken lässt, sodass sie auch künftig weder gewillt noch fähig erscheint, sich an die Rechtsordnung zu halten, was jeweils im Rahmen einer Gesamtbetrachtung zu prüfen ist (vgl. BGE 139 I 16 E. 2.1 S. 18 f., 31 E. 2.1 S. 32 f., 137 II 297 E. 3.3 S. 304; Urteile 2C_877/2013 vom 3. Juli 2014 E.3.1.2; 2C_162/2012 vom 12. Oktober 2012 E. 2.1). Durch die zahlreichen Verurteilungen des Beschwerdeführers im Betäubungsmittelbereich und eines Delikts gegen die körperliche Integrität ist der Widerrufsgrund von Art. 62 lit. c AuG erfüllt. Ob aufgrund der Sozialhilfebezüge auch der Widerrufsgrund von Art. 62 lit. e AuG vorliegt, kann offenbleiben. Dass der Beschwerdeführer Sozialhilfe bezog, ist indessen bei der Verhältnismässigkeitsprüfung (nachfolgend E. 2.3) zu berücksichtigen.</w:t>
      </w:r>
    </w:p>
    <w:p>
      <w:r>
        <w:rPr>
          <w:b/>
        </w:rPr>
        <w:t>E. 2.3</w:t>
      </w:r>
    </w:p>
    <w:p>
      <w:r>
        <w:t>Liegt ein Widerrufsgrund vor, so ist zu prüfen, ob diese Massnahme bzw. die Nichtverlängerung der Bewilligung auch als verhältnismässig erscheint, wobei namentlich die Schwere des Verschuldens, die Dauer der Anwesenheit, der Integrationsgrad sowie die dem Betroffenen und seiner Familie im Falle einer Rückkehr drohenden Nachteile zu berücksichtigen sind. Die Notwendigkeit einer Verhältnismässigkeitsprüfung ergibt sich auch aus Art. 8 Ziff. 2 EMRK : Bei der Interessenabwägung im Rahmen dieser Bestimmung sind namentlich die Schwere eines allenfalls begangenen Delikts, der seit der Tat vergangene Zeitraum, das Verhalten des Ausländers während dieser Periode, die Auswirkungen auf die primär betroffene Person sowie deren familiäre Situation zu berücksichtigen ( BGE 139 I 31 E. 2.3.1 S. 33 f.; 135 II 377 E. 4.3 S. 381 mit Hinweisen; Urteil des EGMR Boultif gegen Schweiz vom 2. August 2001 [Nr. 54273/00] § 46 ff.).</w:t>
      </w:r>
    </w:p>
    <w:p>
      <w:r>
        <w:rPr>
          <w:b/>
        </w:rPr>
        <w:t>E. 2.3.1</w:t>
      </w:r>
    </w:p>
    <w:p>
      <w:r>
        <w:t>Der Beschwerdeführer lebt seit über zehn Jahren in der Schweiz. Seine Jugend und das Leben als junger Erwachsener hat er in seiner Heimat verbracht. Im Zeitraum von Oktober 2006 bis August 2010 ist er zehnmal wegen Delikten im Betäubungsmittelbereich verurteilt worden. Im Jahr 2010 erfolgte ein Schuldspruch wegen Körperverletzung. Aufgrund der zahlreichen Verurteilungen kann der Beschwerdeführer nicht als sozial integriert gelten. Auch in wirtschaftlicher Hinsicht ist ihm bis zum Zeitpunkt des vorinstanzlichen Urteils keine Integration gelungen. Bis 2012 war er nicht (bzw. ausschliesslich für einzelne Einsätze als Discjockey) erwerbstätig und musste mit Sozialhilfegeldern im Umfang von etwas mehr als Fr. 55'000.-- unterstützt werden. Dass er kurz vor dem vorinstanzlichen Urteil eine Anlehre als Storenmonteur begonnen hat, ist ihm zweifelsohne zugutezuhalten, vermag die mangelnde Integration aufgrund der zahlreichen Verurteilungen indessen nicht entscheidend zu relativieren. Entgegen seiner Vorbringen besteht ein erhebliches öffentliches Interesse an der Beendigung seines Aufenthalts.</w:t>
      </w:r>
    </w:p>
    <w:p>
      <w:r>
        <w:rPr>
          <w:b/>
        </w:rPr>
        <w:t>E. 2.3.2</w:t>
      </w:r>
    </w:p>
    <w:p>
      <w:r>
        <w:t>Der Beschwerdeführer bringt vor, die Vorinstanz habe mit einer unzureichenden Interessenabwägung seinen Anspruch auf Familienleben verletzt. Entgegen den Ausführungen der Vorinstanz ist aus den Akten ersichtlich, dass der Beschwerdeführer gemeinsam mit seiner von ihm getrennt lebenden Gattin über das Sorgerecht, nicht bloss über ein Besuchsrecht verfügt ( Art. 105 Abs. 2 BGG ). Indessen leben die Kinder unter der Obhut ihrer Mutter. Der Beschwerdeführer sieht sie vier Mal im Monat sowie teilweise an Feiertagen, was in zeitlicher Hinsicht nicht über ein Besuchsrecht hinausgeht. Die behauptete vorgängige Betreuung hauptsächlich durch ihn ist demgegenüber weder vorinstanzlich festgestellt noch legt dies die Trennungsvereinbarung nahe. Gemäss den vorinstanzlichen Sachverhaltsfeststellungen kam der Beschwerdeführer sodann seinen finanziellen Verpflichtungen gegenüber der Kinder über viele Jahre nicht nach. Zum Zeitpunkt des vorinstanzlichen Urteils bezahlte er seine Unterhaltspflichten nur rund zur Hälfte. Bei der Alimentenstelle der Stadt Zürich hat er zufolge nicht bezahlter Kinderunterhaltsbeiträge Schulden von etwas mehr als Fr. 35'000.--. Wenn die Vorinstanz zwar eine intakte Beziehung zwischen dem Beschwerdeführer und seinen Kindern annimmt, indessen davon ausgeht, diese werde ausschliesslich im Rahmen der Besuchstage gelebt, kann dies nicht als willkürlich gelten (vgl. hiervor E. 1.2). Aus der vom Beschwerdeführer angerufenen UNO-Kinderrechte-Konvention (SR 0.107) ergeben sich keine über Art. 8 EMRK hinausgehenden Ansprüche.</w:t>
      </w:r>
    </w:p>
    <w:p>
      <w:r>
        <w:rPr>
          <w:b/>
        </w:rPr>
        <w:t>E. 2.3.3</w:t>
      </w:r>
    </w:p>
    <w:p>
      <w:r>
        <w:t>Der Beschwerdeführer bringt vor, das Verwaltungsgericht habe die seit seiner Verurteilung verstrichene Zeit zu wenig gewichtet. Soweit der Beschwerdeführer das Urteil des EGMR Udeh gegen die Schweiz vom 16. April 2013 [Nr. 12020/09]) heranzieht und damit aufzeigen möchte, dass "eine positive Entwicklung seit der Delinquenz" zu berücksichtigen sei, verkennt er die Tragweite des Urteils hinsichtlich seiner prozessrechtlichen Konstellation (vgl. hierzu BGE 139 I 325 E. 2.4 S. 327 ff.; Urteile 2C_366/2014 vom 6. Juni 2014 E. 2.3.2; 2C_245/2014 vom 28. Mai 2014 E. 3.3.3, je mit Hinweisen). Entgegen der Ansicht des Beschwerdeführers kann auch nicht davon ausgegangen werden, er hätte sich seit 2008 nichts mehr zuschulden kommen lassen. Im Jahr 2010 erfolgte ein Gewaltdelikt zum Nachteil seiner Gattin (Kehlkopfverletzungen; erhebliche Würgemale am Hals), sodass entgegen seiner Ansicht - namentlich aufgrund der relativ kurzen Zeitspanne nach seiner jüngsten Verurteilung - nicht von einer "sehr günstigen Prognose" gesprochen werden kann. Gewiss besteht ein erhebliches privates Interesse des Beschwerdeführers, seine Kinder zwar nur im Rahmen der Besuchstage, aber doch regelmässig zu sehen. Diese privaten Interessen können indessen die zahlreichen Delikte in der Vergangenheit (darunter Handel mit Kokain) und die Verurteilung wegen eines Gewaltdelikts zum Nachteil seiner Frau Ende 2010 nicht aufwiegen: Weder laufende Probezeiten noch der Vollzug oder Widerruf von bedingt ausgesprochenen Strafen noch eine ausländerrechtliche Verwarnung konnten ihn bewegen, sich gesetzeskonform zu verhalten. Der Beschwerdeführer macht keine Probleme einer Reintegration in sein Heimatland geltend. Die öffentlichen Interessen an der Beendigung seines Aufenthalts überwiegen seine privaten Interessen an einem weiteren Aufenthalt in der Schweiz.</w:t>
      </w:r>
    </w:p>
    <w:p>
      <w:r>
        <w:rPr>
          <w:b/>
        </w:rPr>
        <w:t>E. 3</w:t>
      </w:r>
    </w:p>
    <w:p>
      <w:r>
        <w:t>Die Beschwerde in öffentlich-rechtlichen Angelegenheiten ist demnach unbegründet und abzuweisen. Weder eine Verletzung von nationalem noch von internationalem Recht sind dargetan. Da sich die Beschwerde aufgrund der familiären Situation nicht als aussichtslos erweist und der Beschwerdeführer bedürftig ist, kann die beantragte unentgeltliche Rechtspflege und Verbeiständung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