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376/2012 vom 1. Mai 2012</w:t>
      </w:r>
    </w:p>
    <w:p>
      <w:r>
        <w:t>Bundesgericht, 2012-05-01, FR</w:t>
      </w:r>
    </w:p>
    <w:p>
      <w:r>
        <w:rPr>
          <w:b/>
        </w:rPr>
        <w:t xml:space="preserve">Quelle: </w:t>
      </w:r>
      <w:r>
        <w:t>https://mcp.opencaselaw.ch/entscheid/bger_2C_376_2012</w:t>
      </w:r>
    </w:p>
    <w:p>
      <w:r>
        <w:t>FR: TF 2C 376/2012 du 1 mai 2012</w:t>
      </w:r>
    </w:p>
    <w:p>
      <w:r>
        <w:t>IT: TF 2C 376/2012 del 1 maggio 2012</w:t>
      </w:r>
    </w:p>
    <w:p>
      <w:pPr>
        <w:pStyle w:val="Heading2"/>
      </w:pPr>
      <w:r>
        <w:t>Regeste</w:t>
      </w:r>
    </w:p>
    <w:p>
      <w:r>
        <w:t>Droit foncier rural | Droits réels</w:t>
      </w:r>
    </w:p>
    <w:p>
      <w:pPr>
        <w:pStyle w:val="Heading2"/>
      </w:pPr>
      <w:r>
        <w:t>Erwägungen</w:t>
      </w:r>
    </w:p>
    <w:p>
      <w:r>
        <w:rPr>
          <w:b/>
        </w:rPr>
        <w:t>E. 1</w:t>
      </w:r>
    </w:p>
    <w:p>
      <w:r>
        <w:t>Par arrêt du 30 mars 2012, le Tribunal cantonal du canton de Vaud a rejeté le recours déposé par A.X.________ contre la décision de la Commission foncière rurale du 13 septembre 2011 affirmant que la décision du 14 juin 2004, qui autorisait le partage matériel de l'entreprise agricole de la société Z.________ SA et l'acquisition de parcelles par l'Etat de Vaud, avait été notifiée à tous les ayants-droit.</w:t>
      </w:r>
    </w:p>
    <w:p>
      <w:r>
        <w:rPr>
          <w:b/>
        </w:rPr>
        <w:t>E. 2</w:t>
      </w:r>
    </w:p>
    <w:p>
      <w:r>
        <w:t>Par courrier du 27 avril 2012, A.X.________ demande au Tribunal fédéral d'annuler la décision du 14 juin 2004 et d'ordonner à la Commission foncière rurale de procéder à la rectification du registre foncier. Il est d'avis que l'art. 4 de la loi fédérale du 4 octobre 1991 sur le droit foncier rural (LDFR; RS 211.412.11) est valable pour les personnes physiques et morales.</w:t>
      </w:r>
    </w:p>
    <w:p>
      <w:r>
        <w:rPr>
          <w:b/>
        </w:rPr>
        <w:t>E. 3</w:t>
      </w:r>
    </w:p>
    <w:p>
      <w:r>
        <w:t>D'après l'art. 42 al. 1 et 2 de la loi du 17 juin 2005 sur le Tribunal fédéral (LTF; RS 173.110), les mémoires doivent être rédigés dans une langue officielle, indiquer les conclusions, les motifs et les moyens de preuve, et être signés (al. 1). Les motifs doivent exposer succinctement en quoi l'acte attaqué viole le droit (al. 2). Le courrier du 27 avril 2012 ne répond manifestement pas aux exigences de motivation prévues par l' art. 42 LTF . En effet, il n'expose pas en quoi l'arrêt rendu le 30 mars 2012 par le Tribunal cantonal violerait le droit fédéral. Les développements que le recourant expose à l'appui de son recours ne concernent pas la présente procédure et n'ont au demeurant pas été présentés en procédure cantonale de l'aveu même du recourant. Ils sont par conséquent irrecevables.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