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376/2010 vom 18. August 2010</w:t>
      </w:r>
    </w:p>
    <w:p>
      <w:r>
        <w:t>Bundesgericht, 2010-08-18, FR</w:t>
      </w:r>
    </w:p>
    <w:p>
      <w:r>
        <w:rPr>
          <w:b/>
        </w:rPr>
        <w:t xml:space="preserve">Quelle: </w:t>
      </w:r>
      <w:r>
        <w:t>https://mcp.opencaselaw.ch/entscheid/bger_2C_376_2010</w:t>
      </w:r>
    </w:p>
    <w:p>
      <w:r>
        <w:t>FR: TF 2C 376/2010 du 18 août 2010</w:t>
      </w:r>
    </w:p>
    <w:p>
      <w:r>
        <w:t>IT: TF 2C 376/2010 del 18 agosto 2010</w:t>
      </w:r>
    </w:p>
    <w:p>
      <w:pPr>
        <w:pStyle w:val="Heading2"/>
      </w:pPr>
      <w:r>
        <w:t>Regeste</w:t>
      </w:r>
    </w:p>
    <w:p>
      <w:r>
        <w:t>Autorisation de séjour; reconsidération | Droit de cité et droit des étrangers</w:t>
      </w:r>
    </w:p>
    <w:p>
      <w:pPr>
        <w:pStyle w:val="Heading2"/>
      </w:pPr>
      <w:r>
        <w:t>Erwägungen</w:t>
      </w:r>
    </w:p>
    <w:p>
      <w:r>
        <w:rPr>
          <w:b/>
        </w:rPr>
        <w:t>E. 1</w:t>
      </w:r>
    </w:p>
    <w:p>
      <w:r>
        <w:t>La contestation a pour objet la procédure de réexamen introduite par la recourante le 18 décembre 2009. Est litigieux le point de savoir si c'est à juste titre que le Tribunal cantonal, tout en entrant en matière sur la demande de réexamen, a estimé que celle-ci était manifeste-ment infondée.</w:t>
      </w:r>
    </w:p>
    <w:p>
      <w:r>
        <w:rPr>
          <w:b/>
        </w:rPr>
        <w:t>E. 2.1</w:t>
      </w:r>
    </w:p>
    <w:p>
      <w:r>
        <w:t>Le non-renouvellement de l'autorisation de séjour de la recourante a été définitivement tranché dans le cadre de la procédure qui s'est terminée par l'arrêt d'irrecevabilité du Tribunal fédéral du 31 août 2006 (causes 2A.580/2006 et 2P.246/2006). La conclusion subsidiaire du recours qui tend au renouvellement de ladite autorisation de séjour est donc irrecevable, car elle excède l'objet de la présente contestation.</w:t>
      </w:r>
    </w:p>
    <w:p>
      <w:r>
        <w:rPr>
          <w:b/>
        </w:rPr>
        <w:t>E. 2.2</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2.2.1</w:t>
      </w:r>
    </w:p>
    <w:p>
      <w:r>
        <w:t>En l'occurrence, la recourante n'est plus mariée à un ressortissant titulaire d'une autorisation d'établissement; elle n'a pas d'enfant ni de famille proche en Suisse, de sorte qu'elle ne peut tirer aucun droit à une autorisation de séjour de ses relations familiales. Elle ne le prétend du reste pas, fondant sa demande de réexamen exclusivement sur l'existence de raisons personnelles majeures au sens de l'art. 50 al. 1 let. b et al. 2 de la loi fédérale sur les étrangers du 16 décembre 2005 (LEtr; RS 142.20), entrée en vigueur le 1er janvier 2008.</w:t>
      </w:r>
    </w:p>
    <w:p>
      <w:r>
        <w:rPr>
          <w:b/>
        </w:rPr>
        <w:t>E. 2.2.2</w:t>
      </w:r>
    </w:p>
    <w:p>
      <w:r>
        <w:t>La demande de réexamen porte sur le refus de renouveler l'autorisation de séjour de la recourante, qui a été décidé initialement par le Service cantonal le 30 mai 2005, en application de l'ancien droit, soit la loi fédérale du 26 mars 1931 sur le séjour et l'établissement des étrangers (LSEE; RS 1 113).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loi fédérale sur les étrangers (arrêt 2C_168/2009 du 30 septembre 2009 consid. 4.1). Il en découle que, comme l'a retenu à juste titre le Tribunal cantonal, la recourante ne peut invoquer l'art. 50 LEtr pour déduire un droit de séjourner en Suisse en alléguant les violences subies par son mari jusqu'à leur séparation définitive en janvier 2005, cette question ayant été définitivement examinée et tranchée dans la procédure qui s'est soldée par l'arrêt du Tribunal fédéral du 16 février 2007 (cf. arrêt 2C_168/2009 du 30 septembre 2009 consid. 4.1). En effet, l'autoriser irait à l'encontre de la disposition transitoire prévue à l'art. 126 al. 1 LEtr, car cela aboutirait à appliquer rétroactivement le nouveau droit, en l'occurrence l'art. 50 Letr, à un état de fait définitivement jugé, alors que le législateur n'a rien prévu (cf. ATF 105 Ia 36 consid. 3 p. 40; arrêt 2C_114/2009 du 4 août 2009 consid. 2.3). En revanche, dans la mesure où la recourante fait état, à l'appui de sa demande de réexamen, d'éléments nouveaux survenus postérieure-ment à l'entrée en vigueur du nouveau droit, soit d'une altération de son état de santé attestée par certificat médical le 11 septembre 2009, l'art. 50 al. 1 let. b LEtr est applicable à cette nouvelle circonstance. Cette disposition étant de nature à conférer à la recourante un droit à une autorisation de séjour, le recours est recevable sous l'angle de l' art. 83 let . c ch. 2 LTF, la question de savoir si effectivement la recourante a droit à ce que l'on revienne sur le refus de renouveler son autorisation de séjour relevant du fond (arrêts 2C_531/2009 du 22 juin 2010 consid. 2.2; 2C_65/2010 du 19 mai 2010 consid. 2.1; par analogie ATF 128 II 145 consid. 1.1.5 p. 149).</w:t>
      </w:r>
    </w:p>
    <w:p>
      <w:r>
        <w:rPr>
          <w:b/>
        </w:rPr>
        <w:t>E. 2.3</w:t>
      </w:r>
    </w:p>
    <w:p>
      <w:r>
        <w:t>Au surplus, dirigé contre un arrêt rendu en dernière instance cantonale par un tribunal supérieur (cf. art. 86 al. 1 let . d et al. 2 LTF), le recours a été déposé en temps utile compte tenu des féries (cf. art. 46 al. 1 let. a et 100 al. 1 LTF) et dans les formes prescrites (cf. art. 42 LTF ) par la destinataire de l'acte attaqué qui a un intérêt digne de protection à son annulation ou à sa modification (cf. art. 89 al. 1 LTF ). Il convient donc d'entrer en matière.</w:t>
      </w:r>
    </w:p>
    <w:p>
      <w:r>
        <w:rPr>
          <w:b/>
        </w:rPr>
        <w:t>E. 3</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les rectifier ou les compléter d'office s'ils ont été constatés de façon manifestement inexacte - ce qui correspond à la notion d'arbitraire ( ATF 133 II 249 consid. 1.2.2 p. 252) - ou en violation du droit au sens de l' art. 95 LTF ( art. 105 al. 2 LTF ; cf. aussi l' art. 97 al. 1 LTF ).</w:t>
      </w:r>
    </w:p>
    <w:p>
      <w:r>
        <w:rPr>
          <w:b/>
        </w:rPr>
        <w:t>E. 4</w:t>
      </w:r>
    </w:p>
    <w:p>
      <w:r>
        <w:t>Dans un premier moyen, la recourante invoque la violation de la garantie à un tribunal indépendant et impartial, en considérant que la Juge instructrice aurait dû se récuser, car elle avait fait preuve de prévention à son égard. En effet, l'arrêt attaqué présente au conditionnel les violences subies durant son mariage, alors que leur réalité est démontrée par le rapport médical de septembre 2009 au sujet duquel ladite juge a de plus refusé de l'entendre.</w:t>
      </w:r>
    </w:p>
    <w:p>
      <w:r>
        <w:rPr>
          <w:b/>
        </w:rPr>
        <w:t>E. 4.1</w:t>
      </w:r>
    </w:p>
    <w:p>
      <w:r>
        <w:t>Selon l' art. 30 al. 1 Cst. , qui de ce point de vue a la même portée que l'art. 6 § 1 CEDH ( ATF 131 I 24 consid. 1.1 p. 25),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134 I 20 consid. 4.2 p. 21, 238 consid. 2.1 p. 240; 133 I 1 consid. 5.2 p. 3; 131 I 24 consid. 1.1 p. 25 et les arrêts cités).</w:t>
      </w:r>
    </w:p>
    <w:p>
      <w:r>
        <w:rPr>
          <w:b/>
        </w:rPr>
        <w:t>E. 4.2</w:t>
      </w:r>
    </w:p>
    <w:p>
      <w:r>
        <w:t>En l'espèce, la prévention de la magistrate ressortirait, selon la recourante, de la rédaction de l'arrêt attaqué. Cet acte étant une décision collective approuvée par trois juges, on ne comprend pas vraiment pourquoi la recourante ne s'en prend qu'à l'un des magistrats concernés. Au demeurant, le fait d'avoir évoqué au conditionnel les violences conjugales de la recourante n'a pas influencé le résultat de la décision attaquée, puisque celle-ci retient que ces violences, qui datent de l'époque du mariage de la recourante et ont déjà été invo-quées dans le cadre de la procédure initiale, ne sont pas des faits nouveaux. Ceci explique également que la juge en cause ait estimé inutile d'entendre la recourante sur ce point. Partant, il n'apparaît pas que l'emploi du conditionnel en relation avec les violences subies par la recourante et le refus d'entendre celle-ci soient des éléments qui révéleraient objectivement une prévention de la part de la juge concernée. Le grief est mal fondé.</w:t>
      </w:r>
    </w:p>
    <w:p>
      <w:r>
        <w:rPr>
          <w:b/>
        </w:rPr>
        <w:t>E. 5</w:t>
      </w:r>
    </w:p>
    <w:p>
      <w:r>
        <w:t>Dans un second moyen formel, la recourante soutient qu'en rendant la décision à la suite d'une procédure sommaire, sans instruction ni échange d'écritures, alors que, dans son recours, elle avait sollicité diverses mesures d'instruction, le Tribunal cantonal a violé son droit d'être entendu ( art. 29 al. 2 Cst ). Elle soutient également que les mesures d'instruction ont été arbitrairement écartées.</w:t>
      </w:r>
    </w:p>
    <w:p>
      <w:r>
        <w:rPr>
          <w:b/>
        </w:rPr>
        <w:t>E. 5.1</w:t>
      </w:r>
    </w:p>
    <w:p>
      <w:r>
        <w:t>Le droit d'être entendu garanti à l' art. 29 al. 2 Cst. comprend notamment le droit pour une partie à un procès de prendre connaissance de toute observation ou pièce soumise au tribunal et de se déterminer à son propos (cf. ATF 133 I 98 consid. 2.1 p. 99). Il confère également à l'intéressé le droit de produire des preuves pertinentes et d'obtenir qu'il soit donné suite à ses offres de preuves lorsque cela est de nature à influer sur la décision à rendre ( ATF 134 I 140 consid. 5.3 p. 148; 133 I 270 consid. 3.1 p. 277 et la jurisprudence citée). Le droit d'être entendu n'empêche cependant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 ATF 134 I 140 consid. 5.3 p. 148; 130 II 425 consid. 2.1 p. 429). Si le juge a refusé une mesure probatoire en procédant à une appréciation anticipé des preuves, celle-ci ne peut être contestée qu'en invoquant l'arbitraire ( art. 9 Cst. ; arrêt 5A_726/2009 du 30 avril 2010 consid. 3.1).</w:t>
      </w:r>
    </w:p>
    <w:p>
      <w:r>
        <w:rPr>
          <w:b/>
        </w:rPr>
        <w:t>E. 5.2</w:t>
      </w:r>
    </w:p>
    <w:p>
      <w:r>
        <w:t>Dans la présente cause, les juges ont fait application de l'art. 82 de la loi vaudoise du 28 octobre 2008 sur la procédure administrative (RS/VD, 173.36), disposition qui leur permet, s'ils estiment que le recours paraît manifestement mal fondé, de renoncer à un échange d'écritures. La recourante ne se plaint pas d'une violation arbitraire du droit cantonal sur ce point. Dès lors que, dans son mémoire de recours cantonal, l'intéressée a eu l'occasion de présenter sa position, de produire des pièces et de former des réquisitions de preuve, on ne voit pas en quoi son droit d'être entendu aurait été violé, nonobstant l'absence de prise de position de l'autorité intimée.</w:t>
      </w:r>
    </w:p>
    <w:p>
      <w:r>
        <w:rPr>
          <w:b/>
        </w:rPr>
        <w:t>E. 5.3</w:t>
      </w:r>
    </w:p>
    <w:p>
      <w:r>
        <w:t>Le Tribunal cantonal a refusé de donner suite aux offres de preuve de la recourante, au motif que celle-ci avait eu l'occasion d'ex-poser largement ses arguments dans le cadre de son recours, notamment avec la production d'un rapport médical détaillé et de témoignages de soutien écrits. Cette appréciation anticipée des preuves n'apparaît pas insoutenable. La recourante ne le démontre du reste nullement, au mépris de l' art. 106 al. 2 LTF . Elle affirme seulement que les mesures d'instruction étaient nécessaires, mais sans indiquer concrètement ce que les témoignages requis auraient véritablement pu apporter de plus que l'expertise produite et ses propres explications par rapport au droit litigieux. On ne discerne donc pas de violation de l' art. 29 al. 2 Cst. sous cet angle. Au demeurant, les griefs développés par la recourante sous le couvert du droit d'être entendu se confondent avec ses critiques liées à l'établissement des faits et il peut être renvoyé aux développements présentés ci-après (cf. infra consid. 6.2).</w:t>
      </w:r>
    </w:p>
    <w:p>
      <w:r>
        <w:rPr>
          <w:b/>
        </w:rPr>
        <w:t>E. 6</w:t>
      </w:r>
    </w:p>
    <w:p>
      <w:r>
        <w:t>Sur le fond, la recourante conteste les faits retenus, considérant qu'ils sont manifestement inexacts au sens de l' art. 97 LTF . Selon elle, les autorités cantonales devaient tenir compte des éléments nouveaux qu'elle apportait concernant l'intensité des violences conjugales subies et les difficultés de réintégration qu'elle rencontrerait en cas de retour en Ethiopie. Sur la base de ces éléments, le Tribunal cantonal devait retenir l'existence de raisons personnelles majeures au sens de l'art. 50 al. 2 LEtr.</w:t>
      </w:r>
    </w:p>
    <w:p>
      <w:r>
        <w:rPr>
          <w:b/>
        </w:rPr>
        <w:t>E. 6.1</w:t>
      </w:r>
    </w:p>
    <w:p>
      <w:r>
        <w:t>Au préalable, il faut rappeler que le réexamen de décisions administratives entrées en force ne doit pas être admis trop facilement. Il ne saurait en particulier servir à remettre sans cesse en cause des décisions exécutoires ou à détourner les délais prévus pour les voies de droit ordinaires ( ATF 120 Ib 42 consid. 2b p. 47 avec les références; confirmé récemment in arrêt 2C_490/2009 du 2 février 2010 consid. 2.1, destiné à la publication).</w:t>
      </w:r>
    </w:p>
    <w:p>
      <w:r>
        <w:rPr>
          <w:b/>
        </w:rPr>
        <w:t>E. 6.2</w:t>
      </w:r>
    </w:p>
    <w:p>
      <w:r>
        <w:t>Comme déjà indiqué (cf. supra consid. 2.2.2), l'introduction de la nouvelle loi sur les étrangers, en particulier l'art. 50 LEtr, ne constitue pas en soi un motif permettant de réexaminer des situations qui se sont déroulées entièrement sous l'ancien droit et qui ont fait l'objet d'une décision définitive. Seules de nouvelles circonstances survenues postérieurement à l'entrée en vigueur du nouveau droit peuvent être envisagées sous l'angle de l'art. 50 LEtr. Il en découle que la recourante ne peut invoquer l'intensité des violences conjugales subies durant la vie commune avec son époux jusqu'à fin 2004, pour justifier l'application de l'art. 50 LEtr, alors que ces faits se sont entièrement déroulés sous l'ancien droit et ont déjà été appréciés dans le cadre de la procédure de renouvellement de l'autorisation de séjour. Il en va de même des éventuelles difficultés de réintégration dans son pays d'origine qui ont déjà été examinées par l'Office fédéral dans sa décision du 2 juillet 2007 devenue définitive. En revanche, l'élément nouveau consistant dans la modification de l'état de santé psychique de la recourante, attesté par un certificat médical de septembre 2009, peut justifier un réexamen de sa situation sous l'angle de l'art. 50 al. 2 Letr. Il s'ensuit qu'en ne s'interrogeant pas sur le contenu des violences subies par la recourante et en ne revenant pas sur les éventuelles difficultés liées à son renvoi, les juges cantonaux n'ont pas constaté les faits de façon manifestement inexacte ou arbitraire.</w:t>
      </w:r>
    </w:p>
    <w:p>
      <w:r>
        <w:rPr>
          <w:b/>
        </w:rPr>
        <w:t>E. 6.3</w:t>
      </w:r>
    </w:p>
    <w:p>
      <w:r>
        <w:t>Il reste à vérifier si c'est à juste titre que le Tribunal cantonal a estimé que l'état de santé de la recourante, attesté médicalement le 11 septembre 2009, ne constituait pas une raison personnelle majeure au sens de l'art. 50 al. 1 let. b et al. 2 LEtr.</w:t>
      </w:r>
    </w:p>
    <w:p>
      <w:r>
        <w:rPr>
          <w:b/>
        </w:rPr>
        <w:t>E. 6.3.1</w:t>
      </w:r>
    </w:p>
    <w:p>
      <w:r>
        <w:t>Selon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L'alinéa 2 précise que les "raisons personnelles majeures" sont notamment données lorsque le conjoint est victime de violence conjugale et que la réintégration dans le pays de provenance semble fortement compromise (voir aussi l'art. 77 al. 2 de l'ordonnance du 24 octobre 2007 relative à l'admission, au séjour et à l'exercice d'une activité lucrative [OASA; RS 142.201], qui reprend la teneur de l'art. 50 al. 2 Letr).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fondée sur des motifs humanitaires. La violence conjugale ou les difficultés de réintégration peuvent revêtir une importance et un poids différents dans cette appréciation et suffire isolément à admettre des raisons personnelles majeures (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2e éd., 2009, no 14.54).</w:t>
      </w:r>
    </w:p>
    <w:p>
      <w:r>
        <w:rPr>
          <w:b/>
        </w:rPr>
        <w:t>E. 6.3.2</w:t>
      </w:r>
    </w:p>
    <w:p>
      <w:r>
        <w:t>En l'occurrence, l'arrêt attaqué retient, sur la base du certificat médical produit, que la recourante souffre d'un état dépressif sans symptômes psychotiques. Non contestée, cette constatation lie le Tribunal fédéral ( art. 105 al. 2 LTF ). Cela étant, l'état de santé de la recourante n'est, à l'évidence, pas assimilable à une situation d'extrême gravité propre à fonder l'application de l'art. 50 al. 2 LEtr. Le fait que sa dépression soit partiellement la conséquence des violences conjugales subies durant le mariage six ans auparavant n'y change rien. En outre, ses problèmes psychiques ne permettent pas de conclure que sa réintégration en Ethiopie serait fortement compromise. Sur cette base, le Tribunal cantonal était en droit de retenir que sa situation ne relevait pas de l'art. 50 al. 2 LEtr.</w:t>
      </w:r>
    </w:p>
    <w:p>
      <w:r>
        <w:rPr>
          <w:b/>
        </w:rPr>
        <w:t>E. 6.4</w:t>
      </w:r>
    </w:p>
    <w:p>
      <w:r>
        <w:t>Comme l'existence d'un cas de rigueur, au sens de l'art. 30 al. 1 let. b LEtr, ne peut être revue par le Tribunal fédéral, il n'y a pas lieu d'examiner si c'est à juste titre que les premiers juges ont refusé de mettre la recourante au bénéfice de cette disposition.</w:t>
      </w:r>
    </w:p>
    <w:p>
      <w:r>
        <w:rPr>
          <w:b/>
        </w:rPr>
        <w:t>E. 7</w:t>
      </w:r>
    </w:p>
    <w:p>
      <w:r>
        <w:t>Dans ces circonstances, le recours ne peut qu'être rejeté dans la mesure de sa recevabilité. La cause étant d'emblée dénuée de chances de succès, la demande d'assistance judiciaire doit aussi être rejetée (cf. art 64 al. 1 LTF ). Les frais judiciaires seront mis à la charge de la recourante, mais ils seront fixés en tenant compte de sa situation financière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