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2C_374/2019 vom 3. Juni 2019</w:t>
      </w:r>
    </w:p>
    <w:p>
      <w:r>
        <w:t>Bundesgericht, 2019-06-03, DE</w:t>
      </w:r>
    </w:p>
    <w:p>
      <w:r>
        <w:rPr>
          <w:b/>
        </w:rPr>
        <w:t xml:space="preserve">Quelle: </w:t>
      </w:r>
      <w:r>
        <w:t>https://mcp.opencaselaw.ch/entscheid/bger_2C_374_2019</w:t>
      </w:r>
    </w:p>
    <w:p>
      <w:r>
        <w:t>FR: TF 2C_374/2019 du 3 juin 2019</w:t>
      </w:r>
    </w:p>
    <w:p>
      <w:r>
        <w:t>IT: TF 2C_374/2019 del 3 giugno 2019</w:t>
      </w:r>
    </w:p>
    <w:p>
      <w:pPr>
        <w:pStyle w:val="Heading2"/>
      </w:pPr>
      <w:r>
        <w:t>Erwägungen</w:t>
      </w:r>
    </w:p>
    <w:p>
      <w:r>
        <w:rPr>
          <w:b/>
        </w:rPr>
        <w:t>E. 1</w:t>
      </w:r>
    </w:p>
    <w:p>
      <w:r>
        <w:t>Mit Verfügung vom 11. Januar 2017 und Einspracheentscheid vom 1. Februar 2017 legte die Steuerverwaltung des Kantons Wallis das Hauptsteuerdomizil des 1960 geborenen A.________ ab dem Steuerjahr 2015 in der Gemeinde U.________ fest. Die vom Steuerpflichtigen hiegegen erhobene Beschwerde wies die Steuerrekurskommission des Kantons Wallis mit Entscheid vom 14. Februar 2019 ab.</w:t>
      </w:r>
    </w:p>
    <w:p>
      <w:r>
        <w:t>Mit Beschwerde in öffentlich-rechtlichen Angelegenheiten beantragt A.________, es sei ihm "das Recht des frei wählbaren Wohnsitzes zu gewährleisten", wobei aus der Eingabe nicht klar wird, ob er einen Wohnsitz in V.________ oder im Kanton Zürich geltend macht.</w:t>
      </w:r>
    </w:p>
    <w:p>
      <w:r>
        <w:rPr>
          <w:b/>
        </w:rPr>
        <w:t>E. 2.1</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Abs. 2 sowie Art. 97 Abs. 1 BGG ; dazu BGE 140 III 115 E. 2 S. 117, 264 E. 2.3 S. 266 ; 137 I 58 E. 4.1.2 S. 62 mit Hinweisen).</w:t>
      </w:r>
    </w:p>
    <w:p>
      <w:r>
        <w:rPr>
          <w:b/>
        </w:rPr>
        <w:t>E. 2.2</w:t>
      </w:r>
    </w:p>
    <w:p>
      <w:r>
        <w:t>Das kantonale Gericht hat im Wesentlichen erwogen, das Hauptsteuerdomzil einer natürlichen Person befinde sich am Ort des Mittelpunktes ihrer Lebensinteressen. Dieser liege beim Beschwerdeführer in der Gemeinde U.________, lebe er doch dort eine Beziehung zu einer Partnerin; zudem würden auch die mit dieser gemeinsamen Söhne an den Wochenenden vereinzelt dorthin zurückkehren. Die Beziehung zu diesem Ort sei daher enger als zur Gemeinde V.________, in der seine Mutter lebe.</w:t>
      </w:r>
    </w:p>
    <w:p>
      <w:r>
        <w:rPr>
          <w:b/>
        </w:rPr>
        <w:t>E. 2.3</w:t>
      </w:r>
    </w:p>
    <w:p>
      <w:r>
        <w:t>In der beim Bundesgericht eingereichten Beschwerdeschrift wird nicht einmal ansatzweise auf diese entscheidenen vorinstanzlichen Erwägungen Bezug genommen. Vielmehr erschöpfen sich die Ausführungen des Beschwerdeführers darin, in oberflächlicher Umformulierung der vor Vorinstanz eingereichten Beschwerdeschrift einige Sachverhaltselemente herauszustreichen, die aus seiner Sicht gegen ein Hauptsteuerdomizil in U.________ sprechen würden. Damit enthält die Beschwerdeschrift keine den Begründungsanforderungen von Art. 42 Abs. 2 BGG genügende sachbezogene Begründung, weshalb auf das Rechtsmittel im vereinfachten Verfahren nach Art. 108 Abs. 1 lit. b BGG (Entscheid des Abteilungspräsidenten als Einzelrichter) nicht einzutreten ist.</w:t>
      </w:r>
    </w:p>
    <w:p>
      <w:r>
        <w:rPr>
          <w:b/>
        </w:rPr>
        <w:t>E. 3</w:t>
      </w:r>
    </w:p>
    <w:p>
      <w:r>
        <w:t>Die Gerichtskosten ( Art. 65 BGG ) sind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