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373/2012 vom 28. September 2012</w:t>
      </w:r>
    </w:p>
    <w:p>
      <w:r>
        <w:t>Bundesgericht, 2012-09-28, FR</w:t>
      </w:r>
    </w:p>
    <w:p>
      <w:r>
        <w:rPr>
          <w:b/>
        </w:rPr>
        <w:t xml:space="preserve">Quelle: </w:t>
      </w:r>
      <w:r>
        <w:t>https://mcp.opencaselaw.ch/entscheid/bger_2C_373_2012</w:t>
      </w:r>
    </w:p>
    <w:p>
      <w:r>
        <w:t>FR: TF 2C 373/2012 du 28 septembre 2012</w:t>
      </w:r>
    </w:p>
    <w:p>
      <w:r>
        <w:t>IT: TF 2C 373/2012 del 28 settembre 2012</w:t>
      </w:r>
    </w:p>
    <w:p>
      <w:pPr>
        <w:pStyle w:val="Heading2"/>
      </w:pPr>
      <w:r>
        <w:t>Regeste</w:t>
      </w:r>
    </w:p>
    <w:p>
      <w:r>
        <w:t>Autorisation d'établissement | Droit de cité et droit des étrangers</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est en revanche recevable contre les décisions révoquant une autorisation d'établissement, parce qu'il existe en principe un droit au maintien d'une telle autorisation ( ATF 135 II 1 consid. 1.2.1 p. 4), ce qui est le cas en l'espèce. Le recourant étant de nationalité roumaine, il peut au surplus se prévaloir de l'Accord du 21 juin 1999 entre la Confédération suisse, d'une part, et la Communauté européenne et ses États membres, d'autre part, sur la libre circulation des personnes (ALCP; RS 0.142.112.681). Ce traité confère en principe aux ressortissants des Etats membres de l'Union européenne et de la Suisse le droit d'entrer sur le territoire d'une autre partie contractante ( art. 1 let. a et art. 3 ALCP ), ainsi que le droit de séjourner et d'accéder à la vie économique, sous réserve des dispositions de l' art. 10 ALCP et conformément aux dispositions de l'annexe I ALCP ( art. 1 let. a et art. 4 ALCP ). Par conséquent, le présent recours est recevable sous l'angle de l' art. 83 let . c ch. 2 LTF.</w:t>
      </w:r>
    </w:p>
    <w:p>
      <w:r>
        <w:rPr>
          <w:b/>
        </w:rPr>
        <w:t>E. 1.2</w:t>
      </w:r>
    </w:p>
    <w:p>
      <w:r>
        <w:t>Les autres conditions de recevabilité étant réunies, il y a lieu d'entrer en matière.</w:t>
      </w:r>
    </w:p>
    <w:p>
      <w:r>
        <w:rPr>
          <w:b/>
        </w:rPr>
        <w:t>E. 2.1</w:t>
      </w:r>
    </w:p>
    <w:p>
      <w:r>
        <w:t>Saisi d'un recours en matière de droit public, le Tribunal fédéral examine librement la violation du droit fédéral et du droit international (cf. art. 95 let. a et b ainsi que art. 106 al. 1 LTF ), alors qu'il n'examine la violation de droits fondamentaux que si ce grief a été invoqué et motivé par le recourant conformément au principe de l'allégation ( art. 106 al. 2 LTF ). Il procède de la sorte en se basant sur les faits établis par l'autorité précédente ( art. 105 al. 1 LTF ), sauf si ceux-ci ont été retenus de façon manifestement inexacte - ce qui correspond à la notion d'arbitraire: ATF 134 V 53 consid. 4.3 p. 63 - ou en violation du droit au sens de l' art. 95 LTF ( art. 105 al.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 ATF 137 II 353 consid. 5.1 p. 356 et les arrêts cités). Par ailleurs, l' art. 99 al. 1 LTF dispose qu'aucun fait nouveau ni preuve nouvelle ne peut être présenté, à moins de résulter de la décision de l'autorité précédente.</w:t>
      </w:r>
    </w:p>
    <w:p>
      <w:r>
        <w:rPr>
          <w:b/>
        </w:rPr>
        <w:t>E. 2.2</w:t>
      </w:r>
    </w:p>
    <w:p>
      <w:r>
        <w:t>Tout au long de son écriture, le recourant allègue des faits qui ne ressortent pas du jugement entrepris. Il ne se plaint pourtant nulle part - en tout cas pas de manière conforme aux exigences de motivation rappelées ci-dessus - de ce que les faits auraient été établis de façon arbitraire par l'instance précédente. Conformément à l' art. 105 al. 1 LTF , le Tribunal fédéral examinera donc l'application du droit sur la base des seuls faits retenus par le Tribunal cantonal.</w:t>
      </w:r>
    </w:p>
    <w:p>
      <w:r>
        <w:rPr>
          <w:b/>
        </w:rPr>
        <w:t>E. 3.1</w:t>
      </w:r>
    </w:p>
    <w:p>
      <w:r>
        <w:t>Selon l'art. 2 al. 2 de la loi fédérale du 16 décembre 2005 sur les étrangers (LEtr; RS 142.20), la LEtr ne s'applique aux ressortissants des Etats membres de l'Union européenne que lorsque l'ALCP n'en dispose pas autrement ou lorsque la LEtr prévoit des dispositions plus favorables. Il s'agit ainsi en premier lieu d'examiner si la LEtr confère au recourant une situation plus favorable que l'ALCP. Le recourant n'a certes pas directement invoqué la violation de cette loi. S'agissant toutefois de droit fédéral, le Tribunal fédéral examine d'office cette question, dès lors qu'elle se trouve en relation avec les conclusions formulées. Il en va d'autant plus ainsi que le régime conventionnel, dont la violation est invoquée, réserve expressément les solutions plus favorables du droit interne ( art. 12 ALCP ).</w:t>
      </w:r>
    </w:p>
    <w:p>
      <w:r>
        <w:rPr>
          <w:b/>
        </w:rPr>
        <w:t>E. 3.2</w:t>
      </w:r>
    </w:p>
    <w:p>
      <w:r>
        <w:t>Une autorisation d'établissement ne peut être révoquée que si l'étranger remplit l'une des conditions de l'art. 63 al. 1 LEtr. Tel est le cas, aux termes de l'art. 63 al. 1 LEtr, si les conditions visées à l'art. 62 let. a ou b LEtr sont remplies (let. a) ou si l'étranger attente de manière très grave à la sécurité et l'ordre publics en Suisse ou à l'étranger, les met en danger ou représente une menace pour la sécurité intérieure ou extérieure de la Suisse (let. b). Selon l'art. 62 let. b LEtr, l'autorité compétente peut révoquer une autorisation si l'étranger a été condamné à une peine privative de liberté de longue durée - soit dépassant un an d'emprisonnement ( ATF 135 II 377 consid. 4.2 p. 380 s.) - ou a fait l'objet d'une mesure pénale prévue aux art. 64 ou 61 du code pénal. En l'espèce, la condamnation à une peine privative de trois ans et demi réalise le motif de révocation énoncé par l'art. 62 let. b LEtr. A cela s'ajoute que le recourant tombe sous le coup du motif de révocation de l'art. 63 al. 1 let. b LEtr. En effet, selon la jurisprudence, attente de manière très grave à l'ordre public ou le met en danger l'étranger dont les actes lèsent ou compromettent des biens juridiques particulièrement importants, tels que l'intégrité corporelle, physique ou sexuelle ( ATF 137 II 297 consid. 3.3 p. 303 s.; arrêt 2C_265/2011 du 27 septembre 2011 consid. 5.3.1).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 ATF 137 II 297 consid. 3.3 p. 303 s.; arrêt 2C_839/2011 du 28 février 2012 consid. 2.1). Un trafic de drogue d'importance, comme c'est le cas en l'espèce, fonde également ce motif de révocation de l'autorisation d'établissement.</w:t>
      </w:r>
    </w:p>
    <w:p>
      <w:r>
        <w:rPr>
          <w:b/>
        </w:rPr>
        <w:t>E. 3.3</w:t>
      </w:r>
    </w:p>
    <w:p>
      <w:r>
        <w:t>Les motifs précités sont également déterminants pour la révocation d'une autorisation d'établissement UE/AELE, dès lors que l'ALCP n'énonce pas les situations donnant lieu à la révocation d'autorisations qui sont délivrées au regard des exigences du droit interne (cf. art. 2 al. 2 LEtr, art. 5 et 23 de l'ordonnance du 22 mai 2002 sur l'introduction de la libre circulation des personnes [OLCP; RS 142.203]). L' art. 5 annexe I ALCP complète certes le régime, dans la mesure où il précise que les droits octroyés par les dispositions de l'Accord ne peuvent être limités que par des mesures justifiées par des raisons d'ordre public, de sécurité publique et de santé publique. La jurisprudence et la pratique relatives à cette norme ont été exposées de manière complète et correcte par le Tribunal cantonal, de sorte qu'il peut être renvoyé aux considérants topiques de l'arrêt entrepris. On retiendra spécialement à ce sujet que le risque de récidive joue en ce domaine un rôle particulièrement important, même s'il est parfois possible d'en faire abstraction dans certaines situations ( ATF 130 II 176 consid. 3.4.1 p. 183 s.). L'évaluation du risque de récidive est d'autant plus rigoureuse que le bien juridique menacé est important ( ATF 137 II 233 consid. 4.3.2 p. 30; 130 Il 493 consid. 3.3 p. 499 s.; arrêt 2C_547/2010 du 10 décembre 2010 consid. 3). En l'espèce, le risque de récidive est attesté par un rapport d'expertise psychiatrique et il ne saurait être nié. S'agissant de trafic de drogue, il porte au surplus sur un bien juridique important, la santé publique, et est de nature à léser un grand nombre de personnes.</w:t>
      </w:r>
    </w:p>
    <w:p>
      <w:r>
        <w:rPr>
          <w:b/>
        </w:rPr>
        <w:t>E. 3.4</w:t>
      </w:r>
    </w:p>
    <w:p>
      <w:r>
        <w:t>La révocation de l'autorisation doit en outre être proportionnée, ce qui suppose de procéder à la pesée des intérêts en présence (cf. ATF 135 II 377 consid. 4.3 et 4.5; arrêt 2C_839/2011, précité, consid. 2.3). Dans le cadre de cette pesée, il y a lieu de prendre en compte notamment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En cas d'activité pénale grave ou répétée, une telle révocation n'est toutefois pas exclue, même si l'étranger est né en Suisse où il a passé toute son existence (arrêts 2C_839/2011, précité, consid. 2.3; 2C_562/2011 du 21 novembre 2011 consid. 3.3). En cas d'actes pénaux graves et de récidive ou en cas de délinquance persistante, il existe en général un intérêt public important à mettre un terme à la présence de l'étranger en Suisse, dans la mesure où ce type de comportement porte atteinte à la sécurité et à l'ordre publics (arrêts 2C_839/2011, précité, consid. 2.3; 2C_903/2010 du 6 juin 2011 consid. 3.1 non pub. in ATF 137 II 233 ; ATF 130 II 176 consid. 4.4.2 p. 190). S'agissant plus particulièrement du trafic de stupéfiants, il est de jurisprudence constante que la protection de la collectivité publique face au développement d'un tel commerce constitue un intérêt public prépondérant, justifiant l'éloignement de Suisse d'un étranger mêlé à ce genre d'activités (arrêts 2C_242/2011 du 23 septembre 2011 consid. 3.2.1; 2C_547/2010, précité, consid. 4).</w:t>
      </w:r>
    </w:p>
    <w:p>
      <w:r>
        <w:rPr>
          <w:b/>
        </w:rPr>
        <w:t>E. 4</w:t>
      </w:r>
    </w:p>
    <w:p>
      <w:r>
        <w:t>La décision querellée, aux considérants de laquelle il peut pour le reste être renvoyé, est ainsi conforme à la pratique du Tribunal fédéral et l'autorité précédente a procédé à une pesée des intérêts qui n'est pas critiquable au regard de l'art. 63 al. 1 en lien avec l'art. 62 let. b LEtr, ainsi que des art. 5 annexe I ALCP et 96 LEtr. Le recourant tente en vain d'intégrer dans le débat de nouveaux éléments de fait qui, comme exposé, ne ressortent pas de l'arrêt entrepris et qui sont, partant, irrecevables. Au demeurant, il se justifie de reconnaître une importance accrue aux infractions commises et au risque de récidive avéré, en dépit des inconvénients que le renvoi en Roumanie aura pour le recourant et ce quand bien même celui-ci séjourne en Suisse depuis plusieurs années.</w:t>
      </w:r>
    </w:p>
    <w:p>
      <w:r>
        <w:rPr>
          <w:b/>
        </w:rPr>
        <w:t>E. 5</w:t>
      </w:r>
    </w:p>
    <w:p>
      <w:r>
        <w:t>Vu ce qui précède, le recours en matière de droit public doit donc être rejeté. Les conclusions du présent recours paraissaient d'emblée vouées à l'échec, de sorte qu'il y a lieu de rejeter la demande d'assistance judiciaire (cf. art. 64 LTF ). Succombant, le recourant doit supporter les frais de la procédure devant le Tribunal fédéral (cf. art. 66 al. 1 LTF ), lesquels seront toutefois fixés en tenant compte de sa situation économique.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