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2C_372/2025 vom 10. Juli 2025</w:t>
      </w:r>
    </w:p>
    <w:p>
      <w:r>
        <w:t>Bundesgericht, 2025-07-10, FR</w:t>
      </w:r>
    </w:p>
    <w:p>
      <w:r>
        <w:rPr>
          <w:b/>
        </w:rPr>
        <w:t xml:space="preserve">Quelle: </w:t>
      </w:r>
      <w:r>
        <w:t>https://mcp.opencaselaw.ch/entscheid/bger_2C_372_2025</w:t>
      </w:r>
    </w:p>
    <w:p>
      <w:r>
        <w:t>FR: TF 2C_372/2025 du 10 juillet 2025</w:t>
      </w:r>
    </w:p>
    <w:p>
      <w:r>
        <w:t>IT: TF 2C_372/2025 del 10 luglio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décision du 4 juin 2025, la Cour de justice du canton de Genève a rayé du rôle le recours interjeté le 6 mars 2025 par A.________ "</w:t>
      </w:r>
    </w:p>
    <w:p>
      <w:r>
        <w:t>contre les décisions des 25 février 2025 de la prison de Champ-Dollon " (sic) après que celle-ci l'a retiré par lettre du 30 mai 2025.</w:t>
      </w:r>
    </w:p>
    <w:p>
      <w:r>
        <w:rPr>
          <w:b/>
        </w:rPr>
        <w:t>E. 2</w:t>
      </w:r>
    </w:p>
    <w:p>
      <w:r>
        <w:t>Le 2 juillet 2025, A.________ a adressé à la Cour de justice un courrier dans lequel elle déclare "</w:t>
      </w:r>
    </w:p>
    <w:p>
      <w:r>
        <w:t>faire opposition à la décision du 4 juin 2025 ".</w:t>
      </w:r>
    </w:p>
    <w:p>
      <w:r>
        <w:t>Le 7 juillet 2025, la Cour de justice a transmis le courrier du 2 juillet 2025 au Tribunal fédéral comme objet de sa compétence.</w:t>
      </w:r>
    </w:p>
    <w:p>
      <w:r>
        <w:rPr>
          <w:b/>
        </w:rPr>
        <w:t>E. 3</w:t>
      </w:r>
    </w:p>
    <w:p>
      <w:r>
        <w:t>Le Tribunal fédéral examine d'office sa compétence ( art. 29 al. 1 LTF ) et contrôle librement la recevabilité des recours portés devant lui ( ATF 150 II 346 consid. 1.1; 150 IV 103 consid. 1).</w:t>
      </w:r>
    </w:p>
    <w:p>
      <w:r>
        <w:rPr>
          <w:b/>
        </w:rPr>
        <w:t>E. 3.1</w:t>
      </w:r>
    </w:p>
    <w:p>
      <w:r>
        <w:t>Le recours en matière de droit public est ouvert contre les décisions rendues par les autorités cantonales de dernière instance ( art. 86 al. 1 let . d LTF), de sorte que le courrier du 2 juillet 2025 adressé à tort à la Cour de justice entre bien dans la compétence du Tribunal fédéral, comme le précise du reste expressément le dispositif de la décision attaquée.</w:t>
      </w:r>
    </w:p>
    <w:p>
      <w:r>
        <w:rPr>
          <w:b/>
        </w:rPr>
        <w:t>E. 3.2</w:t>
      </w:r>
    </w:p>
    <w:p>
      <w:r>
        <w:t>Les mémoires de recours auprès du Tribunal fédéral doivent notamment indiquer les conclusions, les motifs et les moyens de preuve, et être signés ( art. 42 al. 1 LTF ). Les motifs doivent exposer succinctement en quoi l'acte attaqué viole le droit ( art. 42 al. 2 LTF ) et doivent se fonder sur les faits retenus par l'arrêt attaqué ( art. 105 al. 1 LTF ). Selon la jurisprudence, pour répondre à cette exigence, la partie recourante est tenue de discuter au moins sommairement les considérants de l'arrêt entrepris ( ATF 142 I 99 consid. 1.7.1; 134 II 244 consid. 2.1). La motivation doit être topique, c'est-à-dire se rapporter précisément à la question juridique tranchée par l'autorité cantonale ( ATF 123 V 335 ).</w:t>
      </w:r>
    </w:p>
    <w:p>
      <w:r>
        <w:t>Ces exigences de recevabilité, auxquelles le Tribunal fédéral est lié, ont été rappelées à la recourante par le dispositif de la décision attaquée. Or, force est de constater que l'écriture de la recourante ne contient ni conclusions en lien avec la décision du 4 juin 2025, ni motivation remettant en cause le motif retenu dans cette décision, qui se rapporte à la radiation du rôle du recours interjeté le 6 mars 2025.</w:t>
      </w:r>
    </w:p>
    <w:p>
      <w:r>
        <w:rPr>
          <w:b/>
        </w:rPr>
        <w:t>E. 4</w:t>
      </w:r>
    </w:p>
    <w:p>
      <w:r>
        <w:t>Ne répondant pas aux exigences de motivation de l' art. 42 al. 2 LTF , le recours est ainsi manifestement irrecevable ( art. 108 al. 1 let. b LTF ) et doit être traité selon la procédure simplifiée de l' art. 108 LTF . Il n'est pas perçu de frais judiciaires ( art. 66 al. 1 LTF ). Il n'est pas alloué de dépens ( art. 68 al. 1 et 3 LTF ).</w:t>
      </w:r>
    </w:p>
    <w:p>
      <w:r>
        <w:t>Par ces motifs, le Juge présidant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