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2C_372/2017 vom 18. April 2017</w:t>
      </w:r>
    </w:p>
    <w:p>
      <w:r>
        <w:t>Bundesgericht, 2017-04-18, DE</w:t>
      </w:r>
    </w:p>
    <w:p>
      <w:r>
        <w:rPr>
          <w:b/>
        </w:rPr>
        <w:t xml:space="preserve">Quelle: </w:t>
      </w:r>
      <w:r>
        <w:t>https://mcp.opencaselaw.ch/entscheid/bger_2C_372_2017</w:t>
      </w:r>
    </w:p>
    <w:p>
      <w:r>
        <w:t>FR: TF 2C_372/2017 du 18 avril 2017</w:t>
      </w:r>
    </w:p>
    <w:p>
      <w:r>
        <w:t>IT: TF 2C_372/2017 del 18 aprile 2017</w:t>
      </w:r>
    </w:p>
    <w:p>
      <w:pPr>
        <w:pStyle w:val="Heading2"/>
      </w:pPr>
      <w:r>
        <w:t>Erwägungen</w:t>
      </w:r>
    </w:p>
    <w:p>
      <w:r>
        <w:rPr>
          <w:b/>
        </w:rPr>
        <w:t>E. 1</w:t>
      </w:r>
    </w:p>
    <w:p>
      <w:r>
        <w:t>Das Migrationsamt des Kantons Thurgau widerrief am 16. November 2016 die Aufenthaltsbewilligung EU/EFTA des italienischen Staatsangehörigen A.________ und wies ihn aus der Schweiz weg. Die Verfügung wurde dem Betroffenen am 17. November 2016 mit A-Post Plus zugestellt. Dieser erhob dagegen Rekurs an das Departement für Sicherheit und Justiz des Kantons Thurgau, wobei er die Rechtsschrift dem Departement am 8. Dezember 2016 persönlich überbrachte. Dieses trat mit Entscheid vom 13. Dezember 2016 auf den Rekurs nicht ein, weil er am 8. Dezember 2016, bei Ablauf der Frist am 7. Dezember 2016, verspätet erhoben worden sei. Die gegen diesen Nichteintretensentscheid erhobene Beschwerde wies das Verwaltungsgericht des Kantons Thurgau mit Entscheid vom 8. März 2017 ab. Mit Beschwerde in öffentlich-rechtlichen Angelegenheiten vom 11. April (Postaufgabe 12. April) 2017 beantragt A.________ dem Bundesgericht sinngemäss, den Entscheid des Verwaltungsgerichts aufzuheben und den Rekurs an das Departement als rechtzeitig erhoben zu werten.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zum schweizerischen Recht im Sinne von Art. 95 BGG gehört kantonales Gesetzesrecht. Beruht der angefochtene Entscheid auf kantonalem Recht, kann im Wesentlichen nur gerügt werden, es sei willkürlich oder sonst wie in gegen verfassungsmässige Rechte verstossender Weise gehandhabt worden. Entsprechende Rügen bedürfen spezifischer Geltendmachung und Begründung ( Art. 106 Abs. 2 BGG ; BGE 141 I 36 E. 1.3 S. 41 ; 138 I 225 E. 3.1 und 3.2 S. 227 f.; je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Der angefochtene Entscheid beruht auf kantonalem Verfahrensrecht (Bestimmungen des Gesetzes des Kantons Thurgau vom 23. Februar 1981 über die Verwaltungsrechtspflege [VRG] betreffend die Rechtsmittelfristen, den Fristenlauf sowie betreffend Fristwiederherstellung). Inwiefern das Verwaltungsgericht diese Bestimmungen in einer gegen verfassungsmässige Rechte verstossenden Weise ausgelegt und angewendet hätte oder inwiefern der seinem Entscheid zugrunde gelegte Sachverhalt offensichtlich unzutreffend festgestellt worden wäre, zeigt der Beschwerdeführer nicht auf.</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