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2C_370/2012 vom 29. Oktober 2012</w:t>
      </w:r>
    </w:p>
    <w:p>
      <w:r>
        <w:t>Bundesgericht, 2012-10-29, FR</w:t>
      </w:r>
    </w:p>
    <w:p>
      <w:r>
        <w:rPr>
          <w:b/>
        </w:rPr>
        <w:t xml:space="preserve">Quelle: </w:t>
      </w:r>
      <w:r>
        <w:t>https://mcp.opencaselaw.ch/entscheid/bger_2C_370_2012</w:t>
      </w:r>
    </w:p>
    <w:p>
      <w:r>
        <w:t>FR: TF 2C_370/2012 du 29 octobre 2012</w:t>
      </w:r>
    </w:p>
    <w:p>
      <w:r>
        <w:t>IT: TF 2C_370/2012 del 29 ottobre 2012</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Le recourant étant de nationalité portugaise, il peut se prévaloir de l'Accord du 21 juin 1999 entre la Confédération suisse, d'une part, et la Communauté européenne et ses États membres, d'autre part, sur la libre circulation des personnes (ALCP; RS 0.142.112.681). Ce Traité confère en principe aux ressortissants des Etats membres de l'Union européenne et de la Suisse le droit d'entrer sur le territoire d'une autre partie contractante ( art. 1 let. a et 3 ALCP ), ainsi que le droit d'y séjourner et d'accéder à la vie économique sous réserve des dispositions de l' art. 10 ALCP et conformément aux dispositions de l'annexe I ALCP ( art. 1 let. a et 4 ALCP ). Par conséquent, le présent recours est recevable sous l'angle de l' art. 83 let . c ch. 2 LTF ( ATF 136 II 177 consid. 1.1 p.179).</w:t>
      </w:r>
    </w:p>
    <w:p>
      <w:r>
        <w:rPr>
          <w:b/>
        </w:rPr>
        <w:t>E. 1.1</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donc en principe recevable.</w:t>
      </w:r>
    </w:p>
    <w:p>
      <w:r>
        <w:rPr>
          <w:b/>
        </w:rPr>
        <w:t>E. 1.2</w:t>
      </w:r>
    </w:p>
    <w:p>
      <w:r>
        <w:t>En raison de l'effet dévolutif du recours déposé auprès du Tribunal cantonal ( ATF 136 II 539 consid. 1.2 p. 543), les conclusions du recours tendant à l'annulation de la décision du Service de la population sont irrecevables. Au vu de l'intitulé de l'acte de recours, on peut cependant en déduire que celui-ci est aussi dirigé contre l'arrêt du Tribunal cantonal du 26 mars 2012, dont il demande implicitement l'annulation.</w:t>
      </w:r>
    </w:p>
    <w:p>
      <w:r>
        <w:rPr>
          <w:b/>
        </w:rPr>
        <w:t>E. 2</w:t>
      </w:r>
    </w:p>
    <w:p>
      <w:r>
        <w:t>Saisi d'un recours en matière de droit public, le Tribunal fédéral examine librement la violation du droit fédéral et du droit international (cf. art. 95 let. a et b ainsi que 106 al. 1 LTF) dans le cadre des griefs invoqués ( art. 42 LTF ), alors qu'il n'examine la violation de droits fondamentaux que si ce grief a été soulevé et motivé par le recourant conformément au principe d'allégation ( art. 106 al. 2 LTF ). En outre, le Tribunal fédéral se fonde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(cf. ATF 136 II 304 consid. 2.4). La correction du vice doit être susceptible d'influer sur le sort de la cause (cf. art. 97 al. 1 LTF ). Il appartient à la partie recourante qui entend s'écarter des constatations de l'autorité précédente d'expliquer de manière circonstanciée en quoi les conditions de l' art. 105 al. 2 LTF seraient réalisées. A ce défaut, un état de fait divergent de celui de la décision attaquée ne peut être pris en compte (cf. ATF 133 IV 286 consid. 1.4 et 6.2 p. 287 ss).</w:t>
      </w:r>
    </w:p>
    <w:p>
      <w:r>
        <w:t>En l'espèce, le recourant reproche à tort au Tribunal cantonal d'avoir retenu qu'il avait été condamné à une peine pécuniaire de 45 jours-amende à 10 fr. le 15 septembre 2010, alors qu'il avait bénéficié d'un non-lieu. Cette condamnation a en effet bien été prononcée par le Juge d'instruction de La Côte pour diverses infractions à la LCR qui ne concernaient pas celles pour lesquelles un non-lieu a été rendu. Il est vrai que dite condamnation concernait des infractions commises entre mars et juillet 2008, de sorte que l'on peut admettre le fait que, depuis lors, le recourant n'a plus commis de délits.</w:t>
      </w:r>
    </w:p>
    <w:p>
      <w:r>
        <w:rPr>
          <w:b/>
        </w:rPr>
        <w:t>E. 3.1</w:t>
      </w:r>
    </w:p>
    <w:p>
      <w:r>
        <w:t>L'autorisation de séjour CE/AELE « type B » du recourant est qualifiée de longue durée par les autorités cantonales. Comme l'ALCP ne réglemente pas en tant que telles les situations donnant lieu au retrait d'une autorisation de séjour UE/AELE, c'est l'art. 62 de la loi fédérale sur les étrangers (LEtr; RS 142.20) qui est applicable (art. 2 al. 2 LEtr et 23 al. 1 de l'ordonnance sur l'introduction à la libre circulation des personnes: OLCP; RS 142.203). Dès lors qu'il constitue une limite à la libre circulation des personnes, le retrait de l'autorisation doit néanmoins être conforme aux exigences de l'ALCP.</w:t>
      </w:r>
    </w:p>
    <w:p>
      <w:r>
        <w:rPr>
          <w:b/>
        </w:rPr>
        <w:t>E. 3.1.1</w:t>
      </w:r>
    </w:p>
    <w:p>
      <w:r>
        <w:t>L'autorisation peut notamment être révoquée si l'étranger a été condamné à une peine privative de liberté de longue durée (art. 62 let. b LEtr), soit à une peine dépassant un an d'emprisonnement ( ATF 135 II 377 consid. 4.2 p. 380 ss) ou s'il attente de manière très grave à la sécurité et l'ordre publics en Suisse ou à l'étranger, les met en danger ou représente une menace pour la sécurité intérieure ou extérieure de la Suisse ( art. 62 let . c LEtr).</w:t>
      </w:r>
    </w:p>
    <w:p>
      <w:r>
        <w:rPr>
          <w:b/>
        </w:rPr>
        <w:t>E. 3.1.2</w:t>
      </w:r>
    </w:p>
    <w:p>
      <w:r>
        <w:t>Comme l'ensemble des droits octroyés par l'ALCP, le droit de demeurer en Suisse pour y exercer une activité lucrative ne peut être limité que par des mesures d'ordre ou de sécurité publics, au sens de l' art. 5 al. 1 annexe I ALCP . L'alinéa 2 de cette disposition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d'ordre public suppose, en tous cas, l'existence, en dehors du trouble pour l'ordre social que constitue toute infraction à la loi, d'une menace réelle et suffisamment grave, affectant un intérêt fondamental de la société ( ATF 136 II 5 consid. 4.2 p. 20). Une condamnation pénale antérieure ne peut ainsi être prise en considération que si les circonstances les entourant font apparaître l'existence d'une menace actuelle pour l'ordre public ( ATF 130 II 493 consid. 3.2 p. 499 et les arrêts cités;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 ATF 130 II 176 consid. 3.4.1 p. 183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ss; arrêt 2C_547/2010 du 10 décembre 2010 consid. 3). L'évaluation du risque de récidive sera d'autant plus rigoureuse que le bien juridique menacé est important ( ATF 136 II 5 consid. 4.2 p. 20; ATF 130 Il 493 consid. 3.3 p. 499 ss; arrêt 2C_238/2012 du 30 juillet 2012, consid. 2.3).</w:t>
      </w:r>
    </w:p>
    <w:p>
      <w:r>
        <w:rPr>
          <w:b/>
        </w:rPr>
        <w:t>E. 3.1.3</w:t>
      </w:r>
    </w:p>
    <w:p>
      <w:r>
        <w:t>La révocation de l'autorisation doit également être proportionnelle (cf. ATF 135 II 377 consid. 4.3 et 4.5; arrêt 2C_980/2011 du 22 mars 2012, consid. 3.4). Dans le cadre de cette pesée d'intérêts, il y a notamment lieu de prendre en compte la durée du séjour en Suisse, l'âge d'arrivée dans ce pays, les relations sociales, familiales et professionnelles, le niveau d'intégration et les conséquences d'un renvoi. L'autorisation d'un étranger qui réside de longue date en Suisse ne peut être révoquée qu'avec retenue.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non publié in ATF 137 II 233 ; 130 II 176 consid. 4.4.2 p. 190).</w:t>
      </w:r>
    </w:p>
    <w:p>
      <w:r>
        <w:rPr>
          <w:b/>
        </w:rPr>
        <w:t>E. 3.2</w:t>
      </w:r>
    </w:p>
    <w:p>
      <w:r>
        <w:t>En l'espèce, le recourant n'a pas été condamné pour des actes de violence criminelle ou pour violation de la loi fédérale sur les stupéfiants, domaines pour lesquels le Tribunal fédéral se montre particulièrement rigoureux pour évaluer la menace que représente un étranger (arrêt précité 2C_238/2012 du 30 juillet 2012, consid. 2.3 i.f. et la jurisprudence citée). Sa condamnation pour lésion corporelles graves en mai 2002, à la suite d'une altercation avec un collègue de travail qu'il avait sérieusement blessé, demeure un cas unique. Prises isolément, les condamnations prononcées à l'encontre du recourant, si elles ne doivent pas être minimisées, ne sont pas non plus très graves et seule l'une d'entre elles, de quinze mois d'emprisonnement en 2007, dépasse la durée d'une année pour être qualifiée de peine privative de « longue durée » au sens de l'art. 62 let. b LEtr et de la jurisprudence ( ATF 137 II 297 consid. 2.3 p. 300 ss; 135 II 377 consid. 4.2 p. 380). En fait, le recourant a été condamné principalement pour des infractions à la LCR et des infractions commises dans le cadre de son activité indépendante, où il a notamment employé des travailleurs étrangers sans autorisations de séjour et n'a pas payé les cotisations sociales dues à la Fédération vaudoise des entrepreneurs. Parmi les violations aux règles de la circulation, plusieurs démontrent que le recourant n'a pas hésité à mettre en danger la vie d'autrui en conduisant sous l'influence de l'alcool et sous le coup d'un retrait de permis. Il a donc eu de la chance de n'avoir pas provoqué d'accident. Dans ce contexte, les premiers juges ont retenu que le recourant n'avait pas tiré les leçons de ses précédentes condamnations, qui avaient débuté en décembre 1999 déjà, puisqu'il avait confirmé le pronostic défavorable émis en septembre 2007 par le Tribunal correctionnel de l'arrondissement de Lausanne, en commettant de nouvelles infractions entre mars et juillet 2008. Ils ont ainsi estimé qu'il y avait risque de récidive. De son côté, le recourant relève qu'il n'a pas commis de nouvelles infractions depuis plus de quatre ans, de sorte qu'il ne représenterait pas une menace grave et actuelle pour l'ordre et la sécurité publics. Il aurait également réussi le test psychologique lui permettant de se présenter à l'examen théorique et pratique de conduite. Les risques de mauvaise gestion d'une entreprise comme indépendant seraient aussi écartés, dans la mesure où il travaille maintenant comme salarié. Ces arguments ne manquent pas de pertinence pour évaluer la proportionnalité de la révocation de l'autorisation par rapport à l'intérêt public en jeu. Bien que son cas soit limite en raison de son comportement pénalement répréhensible qui s'est étendu sur de nombreuses années, il faut en effet reconnaître que les circonstances actuelles ne permettent pas de considérer qu'il représente une menace réelle et suffisamment grave pour l'ordre public qui permettrait de restreindre le droit de demeurer en Suisse et d'y exercer une activité que lui confère l'ALCP (cf. ATF 136 II 5 consid. 4.2 p. 20; 130 II 493 consid. 3.2 p. 499 et les références citées). Le recourant doit toutefois être rendu attentif que la restitution de son autorisation de séjour implique qu'il ne commette plus de nouveaux délits, en particulier en matière de circulation routière. S'il devait récidiver, il s'exposerait à des mesures d'éloignement (cf. arrêt 2C_902/2011 du 14 mai 2012, consid. 3). Il y a donc lieu de lui adresser un avertissement formel en ce sens (art. 96 al. 2 LEtr).</w:t>
      </w:r>
    </w:p>
    <w:p>
      <w:r>
        <w:rPr>
          <w:b/>
        </w:rPr>
        <w:t>E. 3.3</w:t>
      </w:r>
    </w:p>
    <w:p>
      <w:r>
        <w:t>Dans ces conditions, il n'est pas nécessaire d'examiner encore si le recourant entretient une relation suffisamment étroite et effective avec ses trois enfants se trouvant en Suisse (sur cette notion cf. ATF 129 II 193 consid. 5.2 p. 211 et les arrêts cités) pour se prévaloir de l'art. 8 § 1 CEDH .</w:t>
      </w:r>
    </w:p>
    <w:p>
      <w:r>
        <w:rPr>
          <w:b/>
        </w:rPr>
        <w:t>E. 4</w:t>
      </w:r>
    </w:p>
    <w:p>
      <w:r>
        <w:t>Au vu de ce qui précède, le recours doit être admis dans la mesure où il est recevable et l'arrêt attaqué annulé. L'affaire sera renvoyée au Service cantonal de la population pour qu'il restitue au recourant l'autorisation de séjour qu'il avait révoquée.</w:t>
      </w:r>
    </w:p>
    <w:p>
      <w:r>
        <w:t>Le présent arrêt sera rendu sans frais ( art. 66 al. 4 LTF ). Le recourant est représenté par une juriste qui n'est pas avocate. Des dépens peuvent ainsi lui être alloués en application de l'art. 9 du règlement sur les dépens alloués à la partie adverse et sur l'indemnité pour la représentation d'office dans les causes portées devant le Tribunal fédéral (RS 173.110.210.3); ceux-ci seront mis à la charge du canton de Vaud ( art. 68 al. 1 LTF ).</w:t>
      </w:r>
    </w:p>
    <w:p>
      <w:r>
        <w:t>L'affaire sera également renvoyée au Tribunal cantonal pour fixation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