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2C_368/2012 vom 27. April 2012</w:t>
      </w:r>
    </w:p>
    <w:p>
      <w:r>
        <w:t>Bundesgericht, 2012-04-27, FR</w:t>
      </w:r>
    </w:p>
    <w:p>
      <w:r>
        <w:rPr>
          <w:b/>
        </w:rPr>
        <w:t xml:space="preserve">Quelle: </w:t>
      </w:r>
      <w:r>
        <w:t>https://mcp.opencaselaw.ch/entscheid/bger_2C_368_2012</w:t>
      </w:r>
    </w:p>
    <w:p>
      <w:r>
        <w:t>FR: TF 2C_368/2012 du 27 avril 2012</w:t>
      </w:r>
    </w:p>
    <w:p>
      <w:r>
        <w:t>IT: TF 2C_368/2012 del 27 aprile 2012</w:t>
      </w:r>
    </w:p>
    <w:p>
      <w:pPr>
        <w:pStyle w:val="Heading2"/>
      </w:pPr>
      <w:r>
        <w:t>Erwägungen</w:t>
      </w:r>
    </w:p>
    <w:p>
      <w:r>
        <w:rPr>
          <w:b/>
        </w:rPr>
        <w:t>E. 1</w:t>
      </w:r>
    </w:p>
    <w:p>
      <w:r>
        <w:t>X.________, ressortissant du Kosovo né en 1980, a obtenu une autorisation de séjour en Suisse le 3 février 2009 à la suite de son mariage avec une ressortissante suisse, le 28 août 2008. Par décision du 18 mars 2010, le Service des migrations du canton de Neuchâtel a refusé de prolonger l'autorisation de séjour en raison du caractère fictif du mariage.</w:t>
      </w:r>
    </w:p>
    <w:p>
      <w:r>
        <w:t>Par arrêt du 22 mars 2012, le Tribunal cantonal du canton de Neuchâtel a rejeté le recours que l'intéressé avait déposé contre la confirmation le 9 février 2011 de la décision du 18 mars 2012 par le Département de l'économie du canton de Neuchâtel. Il a constaté que les conditions pour déroger aux conditions d'admission n'étaient pas réunies.</w:t>
      </w:r>
    </w:p>
    <w:p>
      <w:r>
        <w:rPr>
          <w:b/>
        </w:rPr>
        <w:t>E. 2</w:t>
      </w:r>
    </w:p>
    <w:p>
      <w:r>
        <w:t>Agissant par la voie du recours en matière de droit public, X.________ demande au Tribunal fédéral de lui accorder une autorisation de séjour. Il se plaint de la violation de sa vie privée garantie par l' art. 8 CEDH et 13 Cst. Il sollicite l'octroi de l'effet suspensif.</w:t>
      </w:r>
    </w:p>
    <w:p>
      <w:r>
        <w:rPr>
          <w:b/>
        </w:rPr>
        <w:t>E. 3</w:t>
      </w:r>
    </w:p>
    <w:p>
      <w:r>
        <w:t>Le recours est irrecevable contre les décisions en matière de droit des étrangers qui concernent une autorisation à laquelle ni le droit fédéral ni le droit international ne donnent droit ( art. 83 let . c ch. 2 LTF) et contre celles qui concernent les dérogations aux conditions d'admission ( art. 83 let . c ch. 5LTF).</w:t>
      </w:r>
    </w:p>
    <w:p>
      <w:r>
        <w:rPr>
          <w:b/>
        </w:rPr>
        <w:t>E. 3.1</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w:t>
      </w:r>
    </w:p>
    <w:p>
      <w:r>
        <w:t>En l'espèce, le recourant ne vit en Suisse que depuis 4 ans. Les relations professionnelles, dans le domaine de la restauration, dont il fait état, ne sauraient être qualifiées de liens particulièrement intenses qui vont largement au delà de l'intégration ordinaire au sens de la jurisprudence. L'autonomie financière et le respect des obligations légales fiscales et sociales ne sont à cet égard pas suffisantes. Dans ces conditions, le recourant ne peut se prévaloir du respect de la vie privée garanti par l' art. 8 CEDH , et 13 Cst., de sorte que le recours en matière de droit public est irrecevable. Il l'est également en tant qu'il concerne la dérogation aux conditions d'admission.</w:t>
      </w:r>
    </w:p>
    <w:p>
      <w:r>
        <w:rPr>
          <w:b/>
        </w:rPr>
        <w:t>E. 3.2</w:t>
      </w:r>
    </w:p>
    <w:p>
      <w:r>
        <w:t>Le Tribunal fédéral statue sur la base des faits établis par l'autorité précédente ( art. 105 al. 1 LTF ). Par conséquent, les allégations du recourant relatives à la qualité de son mariage sont irrecevables parce qu'elles s'appuient sur des faits qui ne ressortent pas de l'arrêt attaqué, sans que l' art. 97 al. 1 LTF ne soit dûment invoqué.</w:t>
      </w:r>
    </w:p>
    <w:p>
      <w:r>
        <w:rPr>
          <w:b/>
        </w:rPr>
        <w:t>E. 4</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Le recourant ne peut toutefois se prévaloir d'aucune norme du droit fédéral ou du droit international lui accordant un droit à une autorisation de séjour (cf. consid. 3 ci-dessus). Par conséquent, sous cet angle, il n'a pas une position juridique protégée qui lui confère la qualité pour agir au fond ( ATF 133 I 185 ). Il ne se plaint en outre pas de la violation de ses droits de partie équivalant à un déni de justice formel, ce qui serait recevable pour autant qu'il ne s'agisse pas de moyens ne pouvant être séparés du fond (cf. ATF 126 I 81 consid. 3c et 7 p. 86 et 94).</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sans objet.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