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365/2020 vom 26. August 2020</w:t>
      </w:r>
    </w:p>
    <w:p>
      <w:r>
        <w:t>Bundesgericht, 2020-08-26, FR</w:t>
      </w:r>
    </w:p>
    <w:p>
      <w:r>
        <w:rPr>
          <w:b/>
        </w:rPr>
        <w:t xml:space="preserve">Quelle: </w:t>
      </w:r>
      <w:r>
        <w:t>https://mcp.opencaselaw.ch/entscheid/bger_2C_365_2020</w:t>
      </w:r>
    </w:p>
    <w:p>
      <w:r>
        <w:t>FR: TF 2C 365/2020 du 26 août 2020</w:t>
      </w:r>
    </w:p>
    <w:p>
      <w:r>
        <w:t>IT: TF 2C 365/2020 del 26 agosto 2020</w:t>
      </w:r>
    </w:p>
    <w:p>
      <w:pPr>
        <w:pStyle w:val="Heading2"/>
      </w:pPr>
      <w:r>
        <w:t>Regeste</w:t>
      </w:r>
    </w:p>
    <w:p>
      <w:r>
        <w:t>Refus d'approbation à la 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vit séparée d'un ressortissant suisse, l' art. 50 LEI (RS 142.20; respectivement dans sa version en vigueur avant le 1 er janvier 2019 [RO 2007 5437; ci-après: LEtr]; cf. art. 126 LEI ) est potentiellement de nature à lui conférer un droit à une autorisation de séjour. Le recours en matière de droit public et ainsi ouvert.</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 sous réserve de ce qui suit.</w:t>
      </w:r>
    </w:p>
    <w:p>
      <w:r>
        <w:rPr>
          <w:b/>
        </w:rPr>
        <w:t>E. 1.3</w:t>
      </w:r>
    </w:p>
    <w:p>
      <w:r>
        <w:t>Dans la mesure où la recourante demande l'annulation de la décision du Secrétariat d'Etat du 9 juin 2017, sa conclusion est irrecevable en raison de l'effet dévolutif complet du recours auprès du Tribunal administratif fédéral ( ATF 136 II 539 consid. 1.2 p. 543).</w:t>
      </w:r>
    </w:p>
    <w:p>
      <w:r>
        <w:rPr>
          <w:b/>
        </w:rPr>
        <w:t>E. 2</w:t>
      </w:r>
    </w:p>
    <w:p>
      <w:r>
        <w:t>Dans un premier grief, la recourante se plaint d'un établissement inexact des faits de la part du Tribunal administratif fédéral.</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En l'occurrence, la recourante est d'avis que le Tribunal administratif fédéral ne pouvait se passer de retenir que, dans un acte d'accusation du 19 janvier 2016 concernant son époux, celui-ci était accusé de l'avoir menacée avec une arme à son domicile, la présence d'une arme pouvant engendrer une crainte particulière de sa part et constituer une raison personnelle majeure lui permettant de demeurer en Suisse.</w:t>
      </w:r>
    </w:p>
    <w:p>
      <w:r>
        <w:rPr>
          <w:b/>
        </w:rPr>
        <w:t>E. 2.3</w:t>
      </w:r>
    </w:p>
    <w:p>
      <w:r>
        <w:t>Certes, l'autorité précédente n'a pas retenu ce fait. Toutefois, il faut constater que celui-ci, aux dires de la recourante, figure dans un acte d'accusation qui a abouti à une libération de l'époux de l'entier des infractions pour lesquelles il était poursuivi, dont celles de mise en danger d'autrui, de menaces qualifiées et de contrainte. Il n'est donc pour le moins pas arbitraire de ne pas avoir retenu que la recourante avait été menacée avec une arme à feu. De surcroît, rien n'indique dans l'arrêt en cause (et la recourante ne conteste pas à suffisance ce point) que l'époux détenait bel et bien une telle arme à la maison.</w:t>
      </w:r>
    </w:p>
    <w:p>
      <w:r>
        <w:rPr>
          <w:b/>
        </w:rPr>
        <w:t>E. 2.4</w:t>
      </w:r>
    </w:p>
    <w:p>
      <w:r>
        <w:t>Pour le surplus, la recourante présente ses propres vision et appréciation des faits et produit des moyens de preuve de manière totalement appellatoire, ce qui ne saurait être admis. Le Tribunal fédéral examinera donc la bonne application du droit sur la seule base des faits figurant dans l'arrêt contesté.</w:t>
      </w:r>
    </w:p>
    <w:p>
      <w:r>
        <w:rPr>
          <w:b/>
        </w:rPr>
        <w:t>E. 3</w:t>
      </w:r>
    </w:p>
    <w:p>
      <w:r>
        <w:t>Dans la mesure où la recourante s'est mariée le 4 octobre 2013, que le couple s'est officiellement séparé le 18 novembre 2014 et que la condition de la durée de l'union conjugale et cumulative avec celle de l'intégration réussie ( ATF 140 II 345 consid. 4 p. 347 s. et les références), c'est à juste titre que le Tribunal administratif fédéral a nié l'existence d'une union conjugale de la recourante avec son époux d'au moins trois ans et ne s'est pas prononcé sur l'intégration de la recourante en Suisse. Celle-ci ne le conteste d'ailleurs pas. Le Tribunal administratif fédéral a toutefois également nié l'existence de violences conjugales d'une intensité suffisante pour reconnaître une situation de raisons personnelles majeures plaidant en faveur de la prolongation de l'autorisation de séjour. La recourante se plaint d'une violation de l'art. 50 al. 1 let. b et al. 2 LEtr, expliquant avoir subi des violences conjugales de la part de son époux, ce qui, selon elle, justifie de prolonger son autorisation de séjour.</w:t>
      </w:r>
    </w:p>
    <w:p>
      <w:r>
        <w:rPr>
          <w:b/>
        </w:rPr>
        <w:t>E. 4.1</w:t>
      </w:r>
    </w:p>
    <w:p>
      <w:r>
        <w:t>L'art. 50 al. 1 let. b et al.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395; arrêt 2C_112/2020 du 9 juin 2020 consid. 4.1 et les références).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 ATF 138 II 393 consid. 3.1 p. 395; arrêt 2C_112/2020 du 9 juin 2020 consid. 4.1 et les références).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p. 395; arrêt 2C_693/2019 du 21 janvier 2020 consid. 4.2 et les références). La notion de violence conjugale inclut également la violence psychologique. A l'instar de violences physiques, seuls des actes de violence psychique d'une intensité particulière peuvent justifier l'application de l'art. 50 al. 1 let. b LEtr ( ATF 138 II 229 consid. 3.2.2 p. 233 s.; arrêt 2C_693/2019 du 21 janvier 2020 consid. 4.2 et les références). Le fait d'exercer des contraintes psychiques d'une certaine constance et intensité peut fonder un cas de rigueur après dissolution de la communauté conjugale, au sens de l'art. 50 al. 1 let. b et al. 2 LEtr. Une attaque verbale à l'occasion d'une dispute, de même qu'une simple gifle ou le fait pour un époux étranger d'avoir été enfermé une fois dehors par son épouse ne suffisent pas (cf. ATF 138 II 229 consid. 3.2.1 p. 233 et les références; arrêt 2C_693/2019 du 21 janvier 2020 consid. 4.2 et les références). En revanche, le Tribunal fédéral a considéré qu'un acte de violence isolé, mais particulièrement grave, pouvait à lui seul conduire à admettre l'existence de raisons personnelles majeures au sens de l'art. 50 al. 1 let. b et al. 2 LEtr (cf. arrêt 2C_693/2019 du 21 janvier 2020 consid. 4.2 et les références).</w:t>
      </w:r>
    </w:p>
    <w:p>
      <w:r>
        <w:rPr>
          <w:b/>
        </w:rPr>
        <w:t>E. 4.2</w:t>
      </w:r>
    </w:p>
    <w:p>
      <w:r>
        <w:t>L'étranger qui se prétend victime de violences conjugales sous l'angle de l'art. 50 al. 1 let. b et al. 2 LEtr est soumis à un devoir de coopération accru (cf. art. 90 LEtr; ATF 138 II 229 consid. 3.2.3 p. 235; arrêt 2C_693/2019 du 21 janvier 2020 consid. 4.4 et les références).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consid. 3.2.3 p. 235; arrêt 2C_693/2019 du 21 janvier 2020 consid. 4.4 et les références).</w:t>
      </w:r>
    </w:p>
    <w:p>
      <w:r>
        <w:rPr>
          <w:b/>
        </w:rPr>
        <w:t>E. 4.3</w:t>
      </w:r>
    </w:p>
    <w:p>
      <w:r>
        <w:t>En l'occurrence, le Tribunal administratif fédéral a retenu que la recourante avait produit des certificats médicaux de ses médecin et psychiatre traitants, ainsi que des attestations délivrées par un centre d'accueil des victimes de violences conjugales et un centre de consultation LAVI (RS 312.5). Il a également constaté que, par jugement du 24 novembre 2016 entré en force, le Tribunal de police compétent avait libéré l'époux de la recourante des chefs d'accusation de lésions corporelles simples qualifiées, voies de fait qualifiées, mise en danger de la vie d'autrui, injure, menaces qualifiées et contraintes. Selon l'autorité précédente, ce jugement mentionnait que, si tous les témoins entendus relevaient des tensions entre les prévenus (la recourante ayant également fait l'objet d'une plainte), aucun d'eux n'avait assisté à la moindre manifestation de violence physique. En outre, le Tribunal administratif fédéral a également constaté qu'un rapport de police faisait état du peu de coopération de la recourante avec les forces de l'ordre. S'agissant des rapports médicaux, il a jugé que ceux-ci étaient purement anamnestiques et postérieurs à la séparation, la recourante n'ayant jamais consulté de médecin avant sa séparation, alors qu'elle affirmait déjà faire l'objet de violences. Quant à la reconnaissance de la qualité de victime LAVI, le Tribunal administratif fédéral a jugé l'attestation du centre de consultation avec circonspection, dans la mesure où celle-ci mentionne que la recourante a été victime de voies de fait et menaces, infractions desquelles l'époux a précisément été libéré. Après avoir apprécié ces moyens de preuve, l'autorité précédente a considéré que le degré de gravité exigé par la loi pour reconnaître des violences conjugales n'avait pas été atteint et que la recourante ne pouvait par conséquent pas se prévaloir de l'art. 50 al. 1 let. b et al. 2 LEtr sur ce point.</w:t>
      </w:r>
    </w:p>
    <w:p>
      <w:r>
        <w:rPr>
          <w:b/>
        </w:rPr>
        <w:t>E. 4.4</w:t>
      </w:r>
    </w:p>
    <w:p>
      <w:r>
        <w:t>La recourante tente de contester l'appréciation effectuée par l'autorité précédente en se fondant sur des faits qui n'ont pas été retenus par cette autorité, comme par exemple les prétendus liens de certains témoins de la procédure pénale avec son époux. Or, il n'y a pas lieu de prendre en compte des faits qui ne ressortent pas de l'arrêt entrepris (cf. consid. 2.1 ci-dessus). Certes, durant la procédure, la recourante a produit divers documents médicaux attestant notamment d'une atteinte à sa santé psychique. Il convient néanmoins de retenir que le Tribunal administratif fédéral a procédé à une appréciation des moyens de preuve produits. La recourante ne conteste pas cette appréciation et il n'y a donc pas lieu d'y revenir ( art. 105 al. 1 LTF ). On relèvera malgré tout qu'une solution contraire n'aurait à tout le moins pas été choquante, compte tenu en particulier du fait que le jugement pénal a été prononcé en application du principe in dubio pro reo (principe qui n'a au demeurant pas de portée plus large que l'interdiction de l'arbitraire [ ATF 145 IV 154 consid. 1.1 p. 156 et les références]). L'appréciation des preuves effectuée doit toutefois être considérée comme étant dénuée d'arbitraire. En effet, si l'on ne doit pas minimiser les rapports médicaux (qui font en particulier état d'un syndrome post-traumatique) et ceux des centres de consultation, il convient néanmoins, comme l'a fait l'autorité précédente de manière pleinement soutenable, de relever qu'ils sont pour le moins peu probants pour traiter de la question des violences conjugales, puisque le rapport du centre de consultation LAVI fait référence à des infractions qui n'étaient pas prouvées et que les rapports médicaux ont été établis sur les seules déclarations de la recourante, postérieurement à la séparation. L'ensemble de ces éléments de fait, apprécié sans arbitraire par le Tribunal administratif fédéral, exclut donc l'existence d'un cas de violence conjugale au sens de l'art. 50 al. 1 let. b et al. 2 LEtr. A cela s'ajoute, tel que l'a justement relevé l'autorité précédente que, lorsqu'un mariage est célébré rapidement et qu'il échoue après peu de temps car les époux se sont mépris sur leur partenaire respectif et le comportement de celui-ci, il ne saurait être question de contrainte psychologique pertinente au sens de l'art. 50 al. 2 LEtr (arrêt 2C_293/2017 du 30 mai 2017 consid. 3.1 et la référence). Or en l'espèce, les époux se sont mariés environ neuf mois après s'être connus sur un site de rencontre et se sont séparés à peine plus d'une année après la célébration de leur union. La recourante cite ensuite diverses jurisprudences, qu'elle estime semblables à sa cause et pertinentes en l'espèce. Il en va ainsi en premier lieu d'un arrêt du Tribunal administratif fédéral, dans lequel l'absence de condamnation pénale avait été considérée comme non pertinente pour reconnaître des violences conjugales (arrêt du Tribunal administratif fédéral C-6450/2012 du 30 juillet 2014). Cet arrêt ne lui est cependant d'aucun secours, dans la mesure où l'absence de condamnation faisait suite à un retrait de plainte de la part de la personne étrangère (arrêt du Tribunal administratif fédéral C-6450/2012 du 30 juillet 2014 consid. 6.2.2). L'arrêt 2C_361/2018 du 21 janvier 2019, également cité par la recourante, ne lui est pas plus profitable. Si, dans cet arrêt, le Tribunal fédéral avait effectivement constaté que les certificats médicaux et attestations du centre de consultation LAVI suffisaient à retenir l'existence de violences conjugales d'une intensité suffisante au sens de l'art. 50 al. 1 let. b LEtr, il n'y était pas question de procédure pénale et notamment pas d'une absence totale de condamnation de l'époux, comme c'est le cas dans la présente cause. Dans l'arrêt précité, le Tribunal fédéral avait en outre constaté que l'autorité de première instance avait elle-même reconnu l'existence de violence, mais pas d'une intensité suffisante, ce qui n'est pas le cas en l'occurrence, l'autorité précédente ayant nié l'existence de maltraitances systématiques unilatérales envers la recourante. Dans l'arrêt 2C_922/2019 du 26 février 2020, s'il était rappelé que l'ensemble des éléments de preuve devait être pris en compte (arrêt 2C_922/2019 du 26 février 2020 consid. 3.4), il n'était cependant pas question d'un jugement pénal libérant l'époux de la recourante de toute infraction (cf. arrêt 2C_922/2019 du 26 février 2020 consid. 5.1). Or en l'espèce, la prise en compte de l'ensemble des faits, arrêtés sans arbitraire par l'autorité précédente, et en particulier le jugement pénal relatif à l'époux de la recourante, ainsi que la valeur probante relative des divers documents remis, doit conduire à confirmer la position du Tribunal administratif fédéral.</w:t>
      </w:r>
    </w:p>
    <w:p>
      <w:r>
        <w:rPr>
          <w:b/>
        </w:rPr>
        <w:t>E. 4.5</w:t>
      </w:r>
    </w:p>
    <w:p>
      <w:r>
        <w:t>Par ailleurs, en tant que la recourante invoque encore la convention du 11 mai 2011 du Conseil de l'Europe sur la prévention et la lutte contre la violence à l'égard des femmes et la violence domestique (RS 0.311.35; ci-après: CEDEF), la convention internationale du 21 décembre 1965 sur l'élimination de toutes les formes de discrimination raciale (RS 0.104; ci-après: CERD) et, à tout le moins implicitement, le Pacte international du 16 décembre 1966 relatif aux droits civils et politiques (RS 0.103.2; ci-après: le Pacte ONU II), il convient de lui faire remarquer que les éléments figurant dans l'arrêt entrepris ne permettent pas de retenir l'existence de violences psychologiques. Cela exclut donc d'emblée l'application de ces conventions à la présente cause.</w:t>
      </w:r>
    </w:p>
    <w:p>
      <w:r>
        <w:rPr>
          <w:b/>
        </w:rPr>
        <w:t>E. 4.6</w:t>
      </w:r>
    </w:p>
    <w:p>
      <w:r>
        <w:t>On ajoutera finalement que le Tribunal administratif fédéral a fait une correcte application du droit en jugeant que la réintégration dans le pays d'origine n'était pas fortement compromise. Il a pris en compte le fait que la recourante, qui n'a pas d'enfant, a passé 32 ans en Russie, pays où résident encore ses parents et sa soeur et où elle a fait ses études et travaillé à son compte. Contrairement à ce qu'affirme la recourante de manière totalement péremptoire, le fait qu'elle se soit convertie à l'islam ne constitue pas un obstacle à sa réintégration. En cela, c'est également à juste titre que l'autorité précédente a considéré que le refus de prolonger l'autorisation de séjour de la recourante constituait une mesure proportionnée au sens de l'art. 96 al. 1 LEtr.</w:t>
      </w:r>
    </w:p>
    <w:p>
      <w:r>
        <w:rPr>
          <w:b/>
        </w:rPr>
        <w:t>E. 5</w:t>
      </w:r>
    </w:p>
    <w:p>
      <w:r>
        <w:t>Sur le vu des considérants qui précèdent, le recours est rejeté, dans la mesure où il est recevable.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