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365/2014 vom 6. Mai 2014</w:t>
      </w:r>
    </w:p>
    <w:p>
      <w:r>
        <w:t>Bundesgericht, 2014-05-06, IT</w:t>
      </w:r>
    </w:p>
    <w:p>
      <w:r>
        <w:rPr>
          <w:b/>
        </w:rPr>
        <w:t xml:space="preserve">Quelle: </w:t>
      </w:r>
      <w:r>
        <w:t>https://mcp.opencaselaw.ch/entscheid/bger_2C_365_2014</w:t>
      </w:r>
    </w:p>
    <w:p>
      <w:r>
        <w:t>FR: TF 2C 365/2014 du 6 mai 2014</w:t>
      </w:r>
    </w:p>
    <w:p>
      <w:r>
        <w:t>IT: TF 2C 365/2014 del 6 maggio 2014</w:t>
      </w:r>
    </w:p>
    <w:p>
      <w:pPr>
        <w:pStyle w:val="Heading2"/>
      </w:pPr>
      <w:r>
        <w:t>Regeste</w:t>
      </w:r>
    </w:p>
    <w:p>
      <w:r>
        <w:t>Permesso di dimora | Cittadinanza e diritto degli stranieri</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137 I 371 consid. 1 pag. 372 e rinvio).</w:t>
      </w:r>
    </w:p>
    <w:p>
      <w:r>
        <w:rPr>
          <w:b/>
        </w:rPr>
        <w:t>E. 1.2</w:t>
      </w:r>
    </w:p>
    <w:p>
      <w:r>
        <w:t>La ricorrente ha omesso di precisare per quale via di diritto voleva procedere. Tale imprecisione non comporta comunque alcun pregiudizio, nella misura in cui il suo allegato adempie alle esigenze formali del tipo di ricorso esperibile ( DTF 134 III 379 consid. 1.2 pag. 382).</w:t>
      </w:r>
    </w:p>
    <w:p>
      <w:r>
        <w:rPr>
          <w:b/>
        </w:rPr>
        <w:t>E. 1.3</w:t>
      </w:r>
    </w:p>
    <w:p>
      <w:r>
        <w:t>L'impugnativa è stata presentata contro una decisione di ultima istanza cantonale in una causa di diritto pubblico; va quindi esaminato se la stessa sia ricevibile quale ricorso in materia di diritto pubblico. Giusta l'art. 83 lett. c n. 2 LTF, il ricorso in materia di diritto pubblico è inammissibile contro le decisioni in materia di diritto degli stranieri concernenti i permessi o autorizzazioni al cui ottenimento né il diritto federale né il diritto internazionale conferiscono un diritto ( DTF 133 I 185 consid. 2.2 pag. 189).</w:t>
      </w:r>
    </w:p>
    <w:p>
      <w:r>
        <w:rPr>
          <w:b/>
        </w:rPr>
        <w:t>E. 1.4</w:t>
      </w:r>
    </w:p>
    <w:p>
      <w:r>
        <w:t>La procedura ha preso avvio dalla revoca del permesso di dimora a suo tempo concesso alla ricorrente. Quando tale provvedimento è stato esaminato dalla Corte cantonale, detto permesso aveva però già perso di validità. Sennonché, dato che il giudizio governativo si era pronunciato anche sul diritto al rinnovo del permesso di soggiorno, il Tribunale cantonale amministrativo ha trattato la fattispecie sotto questo profilo (cfr. sentenza impugnata, consid. 1 pag. 5). Solo quest'ultimo aspetto è di conseguenza oggetto di litigio (sentenza 2C_788/2013 del 25 gennaio 2014, consid. 1).</w:t>
      </w:r>
    </w:p>
    <w:p>
      <w:r>
        <w:rPr>
          <w:b/>
        </w:rPr>
        <w:t>E. 1.5</w:t>
      </w:r>
    </w:p>
    <w:p>
      <w:r>
        <w:t>La ricorrente ritiene di avere un diritto al rinnovo del suo permesso di dimora sulla base dell'art. 50 cpv. 1 lett. a LStr. Non risultando questa conclusione d'acchito insostenibile, occorre pertanto ammettere il sussistere di un diritto, secondo quanto richiesto dall'art. 83 lett. c cifra 2 LTF, a presentare un ricorso in materia di diritto pubblico. In che misura le condizioni per il rinnovo del permesso siano davvero rispettate è infatti questione di merito, che come tale dev'essere trattata (sentenza 2C_304/2009 del 9 dicembre 2009 consid. 1.1, non pubblicato in DTF 136 II 113 ). L'impugnativa, presentata in tempo utile ( art. 100 cpv. 1 LTF ) da persona legittimata ad agire ( art. 89 cpv. 1 LTF ) è quindi ricevibile quale ricorso in materia di diritto pubblico.</w:t>
      </w:r>
    </w:p>
    <w:p>
      <w:r>
        <w:rPr>
          <w:b/>
        </w:rPr>
        <w:t>E. 1.6</w:t>
      </w:r>
    </w:p>
    <w:p>
      <w:r>
        <w:t>Ciò non è invece il caso dei documenti allegati al gravame che configurano dei nuovi mezzi di prova, inammissibili ai sensi dell' art. 99 cpv. 1 LTF ( DTF 135 V 194 ).</w:t>
      </w:r>
    </w:p>
    <w:p>
      <w:r>
        <w:rPr>
          <w:b/>
        </w:rPr>
        <w:t>E. 2.1</w:t>
      </w:r>
    </w:p>
    <w:p>
      <w:r>
        <w:t>La ricorrente non rimette in discussione la sentenza impugnata riguardo al fatto che nulla può dedurre dagli art. 42 e 50 cpv. 1 lett. b e cpv. 2 LStr né dall' art. 8 CEDU , rispettivamente che sono adempiute in concreto le condizioni previste dall'art. 51 cpv. 2 lett. a LStr che portano all'estinzione di un'autorizzazione di soggiorno. In merito a questi aspetti, che non occorre più di conseguenza riesaminare in questa sede, ci si limita a rinviare ai pertinenti considerandi del giudizio contestato (cfr. sentenza cantonale pag. 7 consid. 4, pag. 10 seg. consid. 5.3 e pag. 11 seg. consid. 6).</w:t>
      </w:r>
    </w:p>
    <w:p>
      <w:r>
        <w:rPr>
          <w:b/>
        </w:rPr>
        <w:t>E. 2.2</w:t>
      </w:r>
    </w:p>
    <w:p>
      <w:r>
        <w:t>Ella fonda la sua argomentazione sull'art. 50 cpv. 1 lett. a LStr, segnatamente sul fatto che, contrariamente a quanto ritenuto dalla Corte cantonale, la sua integrazione in Svizzera sarebbe avvenuta con successo. Al riguardo rileva di vivervi da quasi dieci anni e, anche se attualmente beneficia di prestazioni della pubblica assistenza, fa valere di avere cercato, senza successo, del lavoro. Aggiunge poi che anche se non ha avuto un comportamento irreprensibile, la sanzione emanata nei suo confronti non è comunque grave. Pure se la sua integrazione non ha nulla di eccezionale, a suo avviso la stessa è comunque riuscita. La critica è inconferente. Innanzitutto la ricorrente dimentica che le condizioni poste per potersi appellare all'art. 50 cpv. 1 lett. a LStr - secondo il quale dopo lo scioglimento del matrimonio o della comunità familiare, il diritto del coniuge al rilascio e alla proroga del permesso di dimora in virtù dell'art. 42 LStr risulta preservato a condizione che l'unione coniugale sia durata almeno tre anni e l'integrazione sia avvenuta con successo - devono essere adempiute cumulativamente, ciò che non è il suo caso. La ricorrente infatti nulla obietta alle conclusioni della Corte cantonale secondo le quali la sua unione coniugale non è durata tre anni, non avendo la coppia convissuto durante il citato periodo in maniera ininterrotta (cfr. giudizio querelato pag. 7 consid. 5.1). La ricorrente tralascia parimente che, come ricordato dai giudici ticinesi, un'integrazione è considerata avvenuta con successo quando lo straniero ha un'attività regolare, non dipende dall'assistenza pubblica, rispetta l'ordine pubblico nonché conosce e parla la lingua nazionale del suo luogo di residenza, ciò che non è all'evidenza il suo caso: ella ha percepito a diverse occasioni prestazioni assistenziali, non ha mai lavorato ed è stata condannata per ripetuta ingiuria e ripetuta minaccia (cfr. sentenza impugnata pag. 9, secondo paragrafo). Ne discende che il riconoscimento di un permesso di dimora sulla base dell'art. 50 cpv. 1 lett. a LStr dev'essere pertanto escluso.</w:t>
      </w:r>
    </w:p>
    <w:p>
      <w:r>
        <w:rPr>
          <w:b/>
        </w:rPr>
        <w:t>E. 2.3</w:t>
      </w:r>
    </w:p>
    <w:p>
      <w:r>
        <w:t>Per quanto concerne i figli minorenni, i quali desiderano ottenere un permesso di soggiorno per potere rimanere in Svizzera con la madre, la loro domanda va disattesa: non fruendo ella di un diritto al rinnovo della propria autorizzazione, ne discende che il soggiorno in Svizzera deve essere negato anche ai figli (sentenza 2C_73/2012 del 25 marzo 2013 consid. 3). Per quanto riguarda invece il figlio maggiorenne, la ricorrente non pretende che egli vanta un diritto ad ottenere un eventuale rinnovo del proprio permesso di dimora in virtù della legislazione interna o convenzionale oppure di un trattato bilaterale concluso con il suo paese d'origine. Nei suoi confronti non è quindi data la via del ricorso in materia di diritto pubblico.</w:t>
      </w:r>
    </w:p>
    <w:p>
      <w:r>
        <w:rPr>
          <w:b/>
        </w:rPr>
        <w:t>E. 2.4</w:t>
      </w:r>
    </w:p>
    <w:p>
      <w:r>
        <w:t>Per i motivi illustrati, il ricorso, in quanto ammissibile, si avvera pertanto manifestamente infondato e va quindi respinto in base alla procedura semplificata dell' art. 109 LTF .</w:t>
      </w:r>
    </w:p>
    <w:p>
      <w:r>
        <w:rPr>
          <w:b/>
        </w:rPr>
        <w:t>E. 3.1</w:t>
      </w:r>
    </w:p>
    <w:p>
      <w:r>
        <w:t>Con l'evasione del ricorso, la domanda di conferimento dell'effetto sospensivo è divenuta priva d'oggetto.</w:t>
      </w:r>
    </w:p>
    <w:p>
      <w:r>
        <w:rPr>
          <w:b/>
        </w:rPr>
        <w:t>E. 3.2</w:t>
      </w:r>
    </w:p>
    <w:p>
      <w:r>
        <w:t>Le spese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