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2C_365/2010 vom 22. Juni 2011</w:t>
      </w:r>
    </w:p>
    <w:p>
      <w:r>
        <w:t>Bundesgericht, 2011-06-22, DE</w:t>
      </w:r>
    </w:p>
    <w:p>
      <w:r>
        <w:rPr>
          <w:b/>
        </w:rPr>
        <w:t xml:space="preserve">Quelle: </w:t>
      </w:r>
      <w:r>
        <w:t>https://mcp.opencaselaw.ch/entscheid/bger_2C_365_2010</w:t>
      </w:r>
    </w:p>
    <w:p>
      <w:r>
        <w:t>FR: TF 2C_365/2010 du 22 juin 2011</w:t>
      </w:r>
    </w:p>
    <w:p>
      <w:r>
        <w:t>IT: TF 2C_365/2010 del 22 giugno 2011</w:t>
      </w:r>
    </w:p>
    <w:p>
      <w:pPr>
        <w:pStyle w:val="Heading2"/>
      </w:pPr>
      <w:r>
        <w:t>Erwägungen</w:t>
      </w:r>
    </w:p>
    <w:p>
      <w:r>
        <w:rPr>
          <w:b/>
        </w:rPr>
        <w:t>E. 1</w:t>
      </w:r>
    </w:p>
    <w:p>
      <w:r>
        <w:t>Am 1. Januar 2008 hat das Bundesgesetz vom 16. Dezember 2005 über die Ausländerinnen und Ausländer (AuG; SR 142.20) das Bundesgesetz vom 26. März 1931 über Aufenthalt und Niederlassung der Ausländer (ANAG; BS 1 121 und Änderungen gemäss der Fussnote zu Ziff. I von Anhang 2 zum AuG) abgelöst. Da der Beschwerdeführer sein Gesuch um Verlängerung der Aufenthaltsbewilligung im Juni 2008 gestellt hat, ist vorliegend - wie das Bundesverwaltungsgericht im Ergebnis zutreffend erkannt hat (vgl. E. 3.4 des angefochtenen Entscheides) - gemäss Art. 126 Abs. 1 AuG grundsätzlich neues Recht anzuwenden. Entgegen der Auffassung des Bundesamtes für Migration spielt hierbei keine Rolle, dass sich der bisherige Aufenthalt auf eine Ehe stützte, die - hier durch Scheidung - noch während des Geltungszeitraums des alten Rechts aufgelöst worden ist ( BGE 137 II 1 ff., nicht publ. E.1).</w:t>
      </w:r>
    </w:p>
    <w:p>
      <w:r>
        <w:rPr>
          <w:b/>
        </w:rPr>
        <w:t>E. 2.1</w:t>
      </w:r>
    </w:p>
    <w:p>
      <w:r>
        <w:t>Gemäss Art. 83 lit. c Ziff. 2 BGG ist die Beschwerde in öffentlich-rechtlichen Angelegenheiten auf dem Gebiet des Ausländerrechts betreffend Bewilligungen, auf die weder das Bundesrecht noch das Völkerrecht einen Anspruch einräumt, ausgeschlossen. Ausländische Ehegatten von Schweizer Bürgern haben unter Vorbehalt von Art. 51 Abs. 1 AuG Anspruch auf Erteilung und Verlängerung der Aufenthaltsbewilligung, wenn sie mit ihrem Partner zusammenwohnen (Art. 42 Abs. 1 AuG). Der Beschwerdeführer war zwar mit einer Schweizerin verheiratet, hat aber nur gerade zwei Monate mit ihr zusammengewohnt und lebt seither von ihr getrennt, ohne dass es zu einer Wiedervereinigung gekommen wäre. Er hat somit gestützt auf die Ehe keinen Anspruch (mehr) darauf, dass seine Bewilligung verlängert wird.</w:t>
      </w:r>
    </w:p>
    <w:p>
      <w:r>
        <w:rPr>
          <w:b/>
        </w:rPr>
        <w:t>E. 2.2.1</w:t>
      </w:r>
    </w:p>
    <w:p>
      <w:r>
        <w:t>Der Bewilligungsanspruch besteht trotz Auflösens bzw. definitiven Scheiterns der Ehegemeinschaft fort, wenn diese mindestens drei Jahre gedauert und die betroffene ausländische Person sich hier zudem erfolgreich integriert hat (Art. 50 Abs. 1 lit. a AuG, BGE 136 II 113 E. 3.3.3).</w:t>
      </w:r>
    </w:p>
    <w:p>
      <w:r>
        <w:rPr>
          <w:b/>
        </w:rPr>
        <w:t>E. 2.2.2</w:t>
      </w:r>
    </w:p>
    <w:p>
      <w:r>
        <w:t>Neben Art. 50 Abs. 1 lit. a AuG (Ehedauer und erfolgreiche Integration) hat der Gesetzgeber als nachehelichen ausländerrechtlichen Härtefall (vgl. dazu das zur Publikation vorgesehene Urteil 2C_784/2010 vom 26. Mai 2011) einen Rechtsanspruch auf Erteilung und Verlängerung der Aufenthaltsbewilligung auch für den Fall vorgesehen, dass "wichtige persönliche Gründe" einen "weiteren Aufenthalt in der Schweiz erforderlich machen" (Art. 50 Abs. 1 lit. b AuG).</w:t>
      </w:r>
    </w:p>
    <w:p>
      <w:r>
        <w:t>Der Beschwerdeführer beruft sich mit Recht nicht auf Art. 50 Abs. 1 lit. a AuG; er macht indessen wichtige persönlichen Gründe geltend, welche den aus der Ehe mit seiner Schweizer Gattin abgeleiteten Bewilligungsanspruch fortbestehen liessen. Auf seine Beschwerde ist damit grundsätzlich einzutreten. Ob die Voraussetzungen des Art. 50 AuG - hier des nachehelichen Härtefalls - tatsächlich erfüllt sind, bildet Gegenstand der materiellen Beurteilung (Urteile des Bundesgerichts 2C_460/2009 vom 4. November 2009 E. 2.1, nicht publ. in: BGE 136 II 1 ; 2C_304/2009 vom 9. Dezember 2009 E. 1.1, nicht publ. in: BGE 136 II 113 ).</w:t>
      </w:r>
    </w:p>
    <w:p>
      <w:r>
        <w:rPr>
          <w:b/>
        </w:rPr>
        <w:t>E. 3.1</w:t>
      </w:r>
    </w:p>
    <w:p>
      <w:r>
        <w:t>Der Beschwerdeführer macht geltend, seine soziale Wiedereingliederung im Herkunftsland erscheine stark gefährdet: Müsse er nämlich in sein Heimatland L.________ zurückkehren, werde ihm seine Invalidenrente nicht dorthin ausbezahlt, und ihm drohe ein entwürdigendes Dasein in völliger Armut als Bettler. Mangels finanzieller Mittel werde es ihm in diesem Falle auch nicht mehr möglich sein, sich medizinisch behandeln zu lassen.</w:t>
      </w:r>
    </w:p>
    <w:p>
      <w:r>
        <w:rPr>
          <w:b/>
        </w:rPr>
        <w:t>E. 3.2</w:t>
      </w:r>
    </w:p>
    <w:p>
      <w:r>
        <w:t>Bei Art. 50 Abs. 1 lit. b AuG geht es darum, Härtefälle bei der Bewilligungsverlängerung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mitzuberücksichtigen. Im Gegensatz zur Ermessensbewilligung nach Art. 30 Abs. 1 lit. b AuG, wonach die kantonale Bewilligungsbehörde unter Zustimmung des Bundesamts von den Zulassungsvoraussetzungen (Art. 18 - 29 AuG)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lit. b AuG in Weiterführung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Der Härtefall nach Art. 50 Abs. 1 lit. b AuG ist für Situationen gedacht, in denen die Voraussetzungen der Litera a nicht erfüllt sind, sei es, dass der Aufenthalt während der Ehe von kürzerer Dauer war oder dass die Integration nicht fortgeschritten ist oder es an beidem fehlt (vgl. BGE 137 II 1 ff.), aber - aufgrund sämtlicher weiterer Umstände - eine Härtefallsituation vorliegt, welche früher im Rahmen von Art. 13 lit. f BVO hätte berücksichtigt werden können. Der Gesetzgeber wollte mit Art. 50 AuG die diesbezüglich unterschiedlichen kantonalen Praxen vereinheitlichen (Botschaft AuG, BBl 2002 3709 Ziff. 1.3.7.6 S. 3754).</w:t>
      </w:r>
    </w:p>
    <w:p>
      <w:r>
        <w:rPr>
          <w:b/>
        </w:rPr>
        <w:t>E. 3.3</w:t>
      </w:r>
    </w:p>
    <w:p>
      <w:r>
        <w:t>Der Gesetzgeber hatte beim Erlass der genannten Härtefallregelung namentlich gewaltbetroffene Migrantinnen im Auge (vgl. Voten Vermot-Mangold, Menétrey-Savary und Thanei, AB 2004 N 1062 ff., vgl. auch ANGELA BRYNER, in: Uebersax/Rudin/Hugi Yar/Geiser [Hrsg], Ausländerrecht, 2. Auflage, Rz. 27.39). Schutzziel von Art. 50 Abs. 1 lit. b in Verbindung mit Abs. 2 AuG sind nicht nur, aber in erster Linie die Opfer von familiärer Gewalt. Es geht um Situationen, in denen die im Familiennachzug zugelassene Person durch das Zusammenleben in ihrer Persönlichkeit ernstlich gefährdet ist und ihr eine Fortführung der ehelichen Beziehung nicht länger zugemutet werden kann (Urteil 2C_590/2010 vom 29. November 2010 E. 2.5.3, mit Hinweis auf die Botschaft zum AuG [BBl 2002 S. 3754 Ziff. 1.3.7.6]). Der nachgezogene Ehepartner oder das Kind soll sich namentlich nicht aus Angst vor dem Verlust des Anwesenheitsrechts gezwungen sehen, mit dem Familienangehörigen zusammen zu bleiben, der ihm gegenüber Gewalt ausübt (vgl. auch AB 2005 S 310 und AB 2004 N 1062-1064).</w:t>
      </w:r>
    </w:p>
    <w:p>
      <w:r>
        <w:rPr>
          <w:b/>
        </w:rPr>
        <w:t>E. 3.4</w:t>
      </w:r>
    </w:p>
    <w:p>
      <w:r>
        <w:t>Die "wichtigen persönlichen Gründe" nach Art. 50 Abs. 1 lit. b AuG müssen den weiteren Aufenthalt in der Schweiz "erforderlich" machen. Nach Art. 50 Abs. 2 AuG und der bundesgerichtlichen Rechtsprechung dazu ( BGE 136 II 1 E. 5 S. 3 ff.) kann dies namentlich der Fall sein, wenn die ausländische Person mit abgeleitetem Aufenthaltsrecht Opfer ehelicher Gewalt geworden ist (oben E. 3.3)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u. 4).</w:t>
      </w:r>
    </w:p>
    <w:p>
      <w:r>
        <w:rPr>
          <w:b/>
        </w:rPr>
        <w:t>E. 3.5</w:t>
      </w:r>
    </w:p>
    <w:p>
      <w:r>
        <w:t>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Art. 43 AuG spricht, muss der Härtefall sich auf die Ehe und den damit verbundenen Aufenthalt beziehen; ist der Anspruch nach Art. 50 AuG bereits untergegangen, weil es etwa am Zusammenwohnen fehlte, ohne dass wichtige Gründe für das Getrenntleben gegeben gewesen wären, kann der Anspruch nach Art. 50 AuG regelmässig nicht wieder aufleben (vgl. zur Publikation vorgesehenes Urteil 2C_784/2010 vom 26. Mai 2011, E. 3.2.3, sowie Urteil 2C_590/2010 vom 29. November 2010, E. 2.5.3).</w:t>
      </w:r>
    </w:p>
    <w:p>
      <w:r>
        <w:rPr>
          <w:b/>
        </w:rPr>
        <w:t>E. 3.6</w:t>
      </w:r>
    </w:p>
    <w:p>
      <w:r>
        <w:t>Dass der Beschwerdeführer je Opfer ehelicher Gewalt geworden wäre, wird nicht geltend gemacht und ist auch nicht ersichtlich. Als bei ihm erstmals im April 2001 "erhebliche krankheitsbedingte Einschränkungen in der Arbeitsfähigkeit" auftraten (vgl. Entscheid der IV-Stelle vom 13. Juli 2009), war die Ehe des Beschwerdeführers längst gescheitert. Eine Invalidenrente aufgrund seiner psychischen Erkrankung wurde ihm erst ab 1. April 2006 zugesprochen, also fast sechs Jahre nach der definitiven Trennung von seiner Ehefrau. Schwierigkeiten bei einer Rückreise in sein Heimatland L.________ muss der Beschwerdeführer nicht befürchten, hat er sich doch wiederholt dort aufgehalten und ist sein Reisepass bis zum 21. Februar 2012 gültig (angefochtener Entscheid S. 16/17). Ein Härtefall kann sich bei ihm daher einzig aufgrund des Umstandes ergeben, dass er allenfalls seine - erst Jahre nach der gescheiterten Ehe erworbenen - Rentenansprüche gegenüber der Schweizerischen Invalidenversicherung verlieren wird, was aber mit seiner - gescheiterten - Ehe und dem damit verbundenen Aufenthalt in keinem Zusammenhang mehr steht. Damit ist nach dem Gesagten kein nachehelicher Härtefall im Sinne von Art. 50 Abs. 1 lit. b AuG gegeben, und der Beschwerdeführer kann aus dieser Bestimmung keinen Aufenthaltsanspruch ableiten.</w:t>
      </w:r>
    </w:p>
    <w:p>
      <w:r>
        <w:rPr>
          <w:b/>
        </w:rPr>
        <w:t>E. 3.7</w:t>
      </w:r>
    </w:p>
    <w:p>
      <w:r>
        <w:t>Besteht kein Anwesenheitsanspruch, ist auf die Anträge und Darlegungen des Beschwerdeführers, wonach sein Verhalten in der Schweiz und die mit der Rückkehr ins Heimatland verbundenen Schwierigkeiten die vorläufige Aufnahme bzw. die Abweichung von den Zulassungsvoraussetzungen rechtfertige und eine Wegweisung als unverhältnismässig erscheinen lasse, vor Bundesgericht nicht weiter einzugehen; diesbezüglich ist die Beschwerde in öffentlich-rechtlichen Angelegenheiten unzulässig (Art. 83 lit. c Ziff. 3, 4 und 5 BGG).</w:t>
      </w:r>
    </w:p>
    <w:p>
      <w:r>
        <w:t>Soweit sich der Beschwerdeführer allenfalls auf eine Bewilligung des Aufenthalts nach Art. 30 Abs. 1 lit. b AuG (allgemeiner ausländerrechtlicher Härtefall, vorne E. 3.2) berufen will, besteht hierauf ebenfalls kein Anspruch, weshalb das Bundesgericht dies hier nicht zu prüfen hat.</w:t>
      </w:r>
    </w:p>
    <w:p>
      <w:r>
        <w:rPr>
          <w:b/>
        </w:rPr>
        <w:t>E. 3.8</w:t>
      </w:r>
    </w:p>
    <w:p>
      <w:r>
        <w:t>Bei diesem Ergebnis kann dahingestellt bleiben, ob ein Anspruch des Beschwerdeführers auf Verlängerung der Aufenthaltsbewilligung nach Auflösung der Ehe gemäss Art. 51 Abs. 2 AuG wegen Rechtsmissbrauchs (lit. a) - was das Bundesverwaltungsgericht offen liess - oder - wie die Vorinstanz annahm - gemäss lit. b wegen Vorliegens des Widerrufsgrundes von Art. 62 lit. c AuG (wiederholte Verstösse gegen die öffentliche Ordnung) erloschen ist. Dass der angefochtene Entscheid in diesem Punkt eine andere Argumentation enthält, ist unerheblich, da das Bundesgericht das Recht gemäss Art. 106 Abs. 1 BGG von Amtes wegen anwendet (s. auch BGE 133 II 249 E. 1.4.1 S. 254).</w:t>
      </w:r>
    </w:p>
    <w:p>
      <w:r>
        <w:rPr>
          <w:b/>
        </w:rPr>
        <w:t>E. 4</w:t>
      </w:r>
    </w:p>
    <w:p>
      <w:r>
        <w:t>Die Beschwerde erweist sich als unbegründet und ist abzuweisen, soweit darauf eingetreten werden kann.</w:t>
      </w:r>
    </w:p>
    <w:p>
      <w:r>
        <w:t>Dem Ausgang des Verfahrens entsprechend hätte der Beschwerdeführer die Kosten des bundesgerichtlichen Verfahrens zu tragen ( Art. 65 BGG ). Er hat indes die unentgeltliche Rechtspflege und Verbeiständung beantragt, welche ihm zu bewilligen sind, da die Voraussetzungen nach Art. 64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