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2C_363/2021 vom 31. August 2021</w:t>
      </w:r>
    </w:p>
    <w:p>
      <w:r>
        <w:t>Bundesgericht, 2021-08-31, DE</w:t>
      </w:r>
    </w:p>
    <w:p>
      <w:r>
        <w:rPr>
          <w:b/>
        </w:rPr>
        <w:t xml:space="preserve">Quelle: </w:t>
      </w:r>
      <w:r>
        <w:t>https://mcp.opencaselaw.ch/entscheid/bger_2C_363_2021</w:t>
      </w:r>
    </w:p>
    <w:p>
      <w:r>
        <w:t>FR: TF 2C_363/2021 du 31 août 2021</w:t>
      </w:r>
    </w:p>
    <w:p>
      <w:r>
        <w:t>IT: TF 2C_363/2021 del 31 agosto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im Rahmen eines nachehelichen Härtefalls einen Anspruch auf die Erteilung einer Bewilligung gestützt auf Art. 50 Abs. 1 lit. b AIG zu haben. Ob die kantonalen Behörden ihre Bewilligung zu Recht widerrufen bzw. nicht verlängert haben, bildet Gegenstand der materiellen Beurteilung und nicht des Eintretens ( BGE 139 I 330 E. 1.1; Urteil 2C_9/2020 vom 29. Juni 2020 E. 1). Da auch die übrigen Sachurteilsvoraussetzungen gegeben sind ( Art. 82 lit. a, Art. 86 Abs. 1 lit. d und Art. 90 BGG ), ist auf die Beschwerde unter Vorbehalt von E. 1.2 einzutreten.</w:t>
      </w:r>
    </w:p>
    <w:p>
      <w:r>
        <w:rPr>
          <w:b/>
        </w:rPr>
        <w:t>E. 1.2</w:t>
      </w:r>
    </w:p>
    <w:p>
      <w:r>
        <w:t>Insoweit die Beschwerdeführerin ein Aufenthaltsrecht aus dem Anspruch aus Privatleben nach Art. 8 EMRK ableiten will, ist auf die Rechtsprechung des Bundesgerichts hinzuweisen, wonach erst bei einem rechtmässigen Aufenthalt von rund zehn Jahren regelmässig davon ausgegangen werden kann, dass die sozialen Bindungen in der Schweiz so eng geworden sind, dass es für eine Aufenthaltsbeendigung besonderer Gründe bedarf ( BGE 144 I 266 E. 3.9). Im vorliegenden Fall hält sich die Beschwerdeführerin seit sechs Jahren in der Schweiz auf. Zwar kann der aus dem Schutz des Privatlebens abgeleitete Aufenthaltsanspruch im Einzelfall schon vor Ablauf von rund zehn Jahren entstehen. Eine besonders ausgeprägte Integration, welche für einen solchen Anspruch sprechen würde, ist aber nicht erkennbar, auch wenn in der Beschwerde geltend gemacht wird, die Beschwerdeführerin habe sich überdurchschnittlich integriert, die Landessprache gelernt und eine Arbeitsstelle gefunden. Soweit sie ein Aufenthaltsrecht nach Art. 8 EMRK geltend macht, ist nach dem Gesagten mangels vertretbarer Geltendmachung eines entsprechenden Aufenthaltsanspruchs nicht auf die Beschwerde einzutreten (vgl. auch Urteil 2C_922/2019 vom 26. Februar 2020 E. 1.2.1 - 1.2.3).</w:t>
      </w:r>
    </w:p>
    <w:p>
      <w:r>
        <w:rPr>
          <w:b/>
        </w:rPr>
        <w:t>E. 2.1</w:t>
      </w:r>
    </w:p>
    <w:p>
      <w:r>
        <w:t>Mit der Beschwerde in öffentlich-rechtlichen Angelegenheiten kann eine Rechtsverletzung nach Art. 95 und Art. 96 BGG gerügt werden. 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Urteil 2C_124/2108 vom 17. Mai 2019 E. 1.4 nicht publ. in: BGE 145 II 322 ). Zur Sachverhaltsfeststellung gehört auch die auf Indizien gestützte Beweiswürdigung ( BGE 140 I 114 E. 3.3.4).</w:t>
      </w:r>
    </w:p>
    <w:p>
      <w:r>
        <w:rPr>
          <w:b/>
        </w:rPr>
        <w:t>E. 2.3</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der Beschwerdeführerin übereinstimmen, belegt keine Willkür ( BGE 140 III 264 E. 2.3 mit Hinweisen).</w:t>
      </w:r>
    </w:p>
    <w:p>
      <w:r>
        <w:rPr>
          <w:b/>
        </w:rPr>
        <w:t>E. 3.1</w:t>
      </w:r>
    </w:p>
    <w:p>
      <w:r>
        <w:t>Die Beschwerdeführerin bringt vorab vor, dass die Vorinstanz und die unteren Instanzen angebotene Beweise nicht abgenommen hätten und stellt dieselben Beweisanträge vor Bundesgericht. Sie beanstandet insbesondere, dass die Vorinstanzen sie nicht eingehend befragt und darauf verzichtet hätten, die Gesamtheit der Strafakten einzuholen. Damit macht sie sinngemäss eine Verletzung ihres Anspruchs auf rechtliches Gehör geltend ( Art. 29 Abs. 2 BV ).</w:t>
      </w:r>
    </w:p>
    <w:p>
      <w:r>
        <w:rPr>
          <w:b/>
        </w:rPr>
        <w:t>E. 3.2</w:t>
      </w:r>
    </w:p>
    <w:p>
      <w:r>
        <w:t>Der Gehörsanspruch umfasst namentlich das Recht einer betroffenen Person, sich vor Erlass eines in ihre Rechtsstellung eingreifenden Entscheids zur Sache zu äussern ( BGE 133 I 270 E. 3.1). Dem Anspruch auf rechtliches Gehör lässt sich jedoch keine allgemeine Pflicht der Behörde zur Abnahme aller angebotenen Beweise entnehmen. Insbesondere besteht auch kein grundsätzliches Recht auf mündliche Anhörung ( BGE 134 I 140 E. 5.3). Die Abweisung eines Beweisantrags erweist sich namentlich als zulässig, wenn die Verwaltungs- oder Gerichtsbehörde sich ihre Meinung aufgrund zuvor erhobener Beweise bereits bilden konnte und sie ohne Willkür in vorweggenommener, antizipierter Beweiswürdigung annehmen durfte, die gewonnene Überzeugung werde durch weitere Beweiserhebungen nicht erschüttert ( BGE 144 II 427 E. 3.1.3).</w:t>
      </w:r>
    </w:p>
    <w:p>
      <w:r>
        <w:t>Die Beschwerdeführerin konnte ihre Sicht der Dinge betreffend das Vorliegen ehelicher Gewalt mittels ihres Rechtsvertreters ohne Weiteres umfassend einbringen. Da sie nicht darlegt, welche neuen Erkenntnisse aufgrund einer mündlichen Befragung beziehungsweise des Beizugs der Strafakten gegenüber den schriftlichen Ausführungen hätten gewonnen werden können, ist auf die Rüge mangels ausreichender Substanziierung nicht weiter einzugehen (vgl. Urteil 2C_909/2019 vom 7. April 2020 E. 3.4.4). Auch im bundesgerichtlichen Verfahren erübrigen sich insofern schon deshalb zusätzliche Instruktionsmassnahmen.</w:t>
      </w:r>
    </w:p>
    <w:p>
      <w:r>
        <w:rPr>
          <w:b/>
        </w:rPr>
        <w:t>E. 4</w:t>
      </w:r>
    </w:p>
    <w:p>
      <w:r>
        <w:t>Die Beschwerdeführerin macht einen Aufenthaltsanspruch gestützt auf Art. 50 Abs. 1 lit. b AIG geltend, da sie Opfer ehelicher Gewalt geworden sei.</w:t>
      </w:r>
    </w:p>
    <w:p>
      <w:r>
        <w:rPr>
          <w:b/>
        </w:rPr>
        <w:t>E. 4.1</w:t>
      </w:r>
    </w:p>
    <w:p>
      <w:r>
        <w:t>Eheliche Gewalt bedeutet nach der bundesgerichtlichen Rechtsprechung eine systematische Misshandlung mit dem Ziel, Macht und Kontrolle auszuüben, und nicht eine einmalige Ohrfeige oder eine verbale Beschimpfung im Verlauf eines eskalierenden Streits. Ein Anspruch wird nicht bereits durch eine einmalige tätliche Auseinandersetzung begründet.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 BGE 138 II 229 E. 3.2.1 f., mit zahlreichen Hinweisen).</w:t>
      </w:r>
    </w:p>
    <w:p>
      <w:r>
        <w:t>Die Gewährung eines Aufenthaltsrechts für Opfer ehelicher Gewalt nach Art. 50 Abs. 1 lit. b soll verhindern, dass eine von ehelicher Gewalt betroffene Person nur deshalb in einer für sie objektiv unzumutbaren ehelichen Gemeinschaft verbleibt, weil die Trennung für sie nachteilige ausländerrechtliche Folgen haben würde ( BGE 138 II 229 E. 3.2.2). Kommt es in einer solchen Situation zur Trennung, wandelt sich der vormals aus der ehelichen Beziehung abgeleitete Aufenthaltsanspruch in einen selbständigen Aufenthaltsanspruch. Insofern bedarf es eines hinreichend engen Zusammenhangs zwischen der ehelichen Gewalt und der Trennung (Urteil 2C_922/2019 vom 26. Februar 2020 E. 3.3).</w:t>
      </w:r>
    </w:p>
    <w:p>
      <w:r>
        <w:rPr>
          <w:b/>
        </w:rPr>
        <w:t>E. 4.2</w:t>
      </w:r>
    </w:p>
    <w:p>
      <w:r>
        <w:t>Die ausländische Person trifft bei den Feststellungen des entsprechenden Sachverhalts eine weitreichende Mitwirkungspflicht ( Art. 90 AIG ). Sie muss die häusliche Gewalt in geeigneter Weise glaubhaft machen (Arztberichte oder psychiatrische Gutachten, Polizeirapporte, Berichte/Einschätzungen von Fachstellen [Frauenhäuser, Opferhilfe usw.], glaubhafte Zeugenaussagen von weiteren Angehörigen oder Nachbarn etc.). Allgemein gehaltene Behauptungen oder Hinweise auf punktuelle Spannungen genügen nicht; wird häusliche Gewalt in Form psychischer Oppression behauptet, müssen die Systematik der Misshandlung bzw. deren zeitliches Andauern und die daraus entstehende subjektive Belastung objektiv nachvollziehbar konkretisiert und beweismässig unterlegt werden ( BGE 138 II 229 E. 3.2.3).</w:t>
      </w:r>
    </w:p>
    <w:p>
      <w:r>
        <w:rPr>
          <w:b/>
        </w:rPr>
        <w:t>E. 4.3</w:t>
      </w:r>
    </w:p>
    <w:p>
      <w:r>
        <w:t>Die Vorinstanz kam zum Schluss, dass keine Beweise für eine massgebliche häusliche Gewalt während der ehelichen Gemeinschaft vorlägen. Die nach der Auflösung der Ehegemeinschaft gegen den damaligen Lebenspartner der Beschwerdeführerin gerichtete Messerattacke des Ehemannes stelle zwar ein Indiz für dessen mögliches Fehlverhalten dar, da aber sonst keine Anhaltspunkte bestünden, dass der Ehemann während der Ehegemeinschaft Gewalt ausgeübt habe, sei der Tatbestand von Art. 50 Abs. 1 lit. b AIG nicht erfüllt.</w:t>
      </w:r>
    </w:p>
    <w:p>
      <w:r>
        <w:rPr>
          <w:b/>
        </w:rPr>
        <w:t>E. 4.4</w:t>
      </w:r>
    </w:p>
    <w:p>
      <w:r>
        <w:t>Die Beschwerdeführerin beanstandet diese Schlussfolgerung vornehmlich mit der Begründung, die Vorinstanz sei bei der Sachverhaltsfeststellung bzw. bei der Beweiswürdigung in Willkür verfallen. Inwieweit dies der Fall gewesen wäre, ist jedoch nicht ersichtlich.</w:t>
      </w:r>
    </w:p>
    <w:p>
      <w:r>
        <w:rPr>
          <w:b/>
        </w:rPr>
        <w:t>E. 4.4.1</w:t>
      </w:r>
    </w:p>
    <w:p>
      <w:r>
        <w:t>Soweit sie geltend macht, dass die Vorinstanz zu Unrecht nicht berücksichtigt habe, dass sie sich gegenüber der Polizei über häufige Zornausbrüche und dominantes Verhalten ihres Ehemanns beklagt habe, blendet sie aus, dass es sich bei diesen Aussagen lediglich um Parteibehauptungen handelt, die allein keinen verlässlichen Schluss auf das Verhalten des Ehemannes zulassen. Des Weiteren verfängt ihre Kritik nicht, wenn sie sich darüber beklagt, dass die Vorinstanz nicht darauf Bezug genommen habe, dass ihr damaliger Lebenspartner vor der Polizei ausgesagt habe, dass es häufig zu ehelicher Gewalt während der häuslichen Gemeinschaft gekommen und sie von ihrem Ehemann wiederholt beschimpft worden sei. Aktenkundig ist, dass diese Aussagen nicht auf dessen eigener Wahrnehmung beruhten. Angesichts dieser Umstände kann der Vorinstanz keine Willkür vorgeworfen werden, wenn sie den Aussagen des damaligen Lebenspartners der Beschwerdeführerin keinen entscheidenden Wert zumass.</w:t>
      </w:r>
    </w:p>
    <w:p>
      <w:r>
        <w:rPr>
          <w:b/>
        </w:rPr>
        <w:t>E. 4.4.2</w:t>
      </w:r>
    </w:p>
    <w:p>
      <w:r>
        <w:t>Die Beschwerdeführerin bringt weiter vor, die Vorinstanz sei in Willkür verfallen, wenn sie die im psychiatrischen Gutachten enthaltenen Aussage, es sei zu häuslicher Gewalt "während und nach der Trennung" gekommen, dahingehend auslegte, dass nicht belegt sei, dass Gewalt während der Ehegemeinschaft stattgefunden habe. Diese Deutung wird dadurch bestätigt, dass die Beschwerdeführerin der Polizei zu Protokoll gegeben hat, dass es während der Ehegemeinschaft ausschliesslich zu verbalen Auseinandersetzungen zwischen den Eheleuten gekommen und sie durch ihren Ehemann weder geschlagen noch verletzt worden sei ( Art. 105 Abs. 2 BGG ). Schliesslich kann der Vorinstanz auch keine willkürliche Beweiswürdigung vorgeworfen werden, wenn sie davon ausging, dass die Therapiebedürftigkeit der Beschwerdeführerin vornehmlich auf die nach der Trennung erfolgende Messerattacke gegen ihren damaligen Lebenspartner zurückzuführen sei. Die Vorinstanz durfte diesen Vorfall insofern nicht in einem direkten Bezug mit ehelicher Gewalt während der Ehegemeinschaft sehen. Mangels konkreter Hinweise, welche eine solche Kausalität nahelegen würden, verfängt insofern auch diese Rüge nicht.</w:t>
      </w:r>
    </w:p>
    <w:p>
      <w:r>
        <w:rPr>
          <w:b/>
        </w:rPr>
        <w:t>E. 4.5</w:t>
      </w:r>
    </w:p>
    <w:p>
      <w:r>
        <w:t>Die Vorinstanz ist folglich aufgrund einer willkürfreien Beweiswürdigung zum Schluss gelangt, dass die Beschwerdeführerin nicht Opfer von ehelicher Gewalt im Sinne von Art. 50 Abs. 1 lit. b AIG geworden ist.</w:t>
      </w:r>
    </w:p>
    <w:p>
      <w:r>
        <w:rPr>
          <w:b/>
        </w:rPr>
        <w:t>E. 5</w:t>
      </w:r>
    </w:p>
    <w:p>
      <w:r>
        <w:t>Die Beschwerdeführerin macht weiter geltend, ein wichtiger Grund für den Verbleib in der Schweiz liege auch darin begründet, dass ihre soziale Wiedereingliederung im Herkunftsland stark gefährdet erscheine (Art. 50 Abs. 2 Halbsatz 3 AIG).</w:t>
      </w:r>
    </w:p>
    <w:p>
      <w:r>
        <w:rPr>
          <w:b/>
        </w:rPr>
        <w:t>E. 5.1</w:t>
      </w:r>
    </w:p>
    <w:p>
      <w:r>
        <w:t>Die Vorinstanz ist zum Schluss gekommen, dass die Beschwerdeführerin bei einer Rückkehr in ihr Heimatland nicht gefährdet sei. Diese Beurteilung ist nicht zu beanstanden. Sie wird nicht dadurch in Frage gestellt, dass die Beschwerdeführerin aus einem Gebiet der Ukraine stammt, unweit von dem es immer wieder zu bewaffneten Auseinandersetzungen kommt und die Ukraine zu den ärmsten Ländern Europas zählt, und auch nicht dadurch, dass ihre Wiedereingliederung aufgrund der Covid-Pandemie erschwert ist (Urteil 2C_585/2020 vom 22. März 2021 E. 3.2.2).</w:t>
      </w:r>
    </w:p>
    <w:p>
      <w:r>
        <w:rPr>
          <w:b/>
        </w:rPr>
        <w:t>E. 5.2</w:t>
      </w:r>
    </w:p>
    <w:p>
      <w:r>
        <w:t>Schliesslich macht die Beschwerdeführerin auch keine weiteren Umstände geltend, welche einen wichtigen persönlichen Grund im Sinne von Art. 50 Abs. 1 lit. b und Art. 50 Abs. 2 AIG darstellen könnten. Dass sie in der Schweiz einer geregelten Arbeitstätigkeit nachgeht, ihren eigenen Lebensunterhalt ohne Sozialhilfeunterstützung bestreitet und weder Betreibungen noch strafrechtliche Verurteilungen vorliegen, vermag an der Gesamteinschätzung nichts zu ändern. Demnach kann die Beschwerdeführerin auch kein Aufenthaltsrecht gestützt auf Art. 50 Abs. 1 lit. b und Abs. 2 AIG ableiten.</w:t>
      </w:r>
    </w:p>
    <w:p>
      <w:r>
        <w:rPr>
          <w:b/>
        </w:rPr>
        <w:t>E. 6</w:t>
      </w:r>
    </w:p>
    <w:p>
      <w:r>
        <w:t>Zusammenfassend besitzt die Beschwerdeführerin keinen Rechtsanspruch auf eine Aufenthaltsbewilligung. Für weitergehende Überlegungen zur Verhältnismässigkeit im Rahmen von Art. 96 AIG , wie sie die Beschwerdeführerin anstellt, besteht im vorliegenden Verfahren kein Raum.</w:t>
      </w:r>
    </w:p>
    <w:p>
      <w:r>
        <w:t>Die Beschwerde ist abzuweisen, soweit darauf eingetreten wird.</w:t>
      </w:r>
    </w:p>
    <w:p>
      <w:r>
        <w:rPr>
          <w:b/>
        </w:rPr>
        <w:t>E. 7</w:t>
      </w:r>
    </w:p>
    <w:p>
      <w:r>
        <w:t>Bei diesem Verfahrensausgang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