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2C_361/2016 vom 28. April 2016</w:t>
      </w:r>
    </w:p>
    <w:p>
      <w:r>
        <w:t>Bundesgericht, 2016-04-28, FR</w:t>
      </w:r>
    </w:p>
    <w:p>
      <w:r>
        <w:rPr>
          <w:b/>
        </w:rPr>
        <w:t xml:space="preserve">Quelle: </w:t>
      </w:r>
      <w:r>
        <w:t>https://mcp.opencaselaw.ch/entscheid/bger_2C_361_2016</w:t>
      </w:r>
    </w:p>
    <w:p>
      <w:r>
        <w:t>FR: TF 2C_361/2016 du 28 avril 2016</w:t>
      </w:r>
    </w:p>
    <w:p>
      <w:r>
        <w:t>IT: TF 2C_361/2016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29 février 2016, notifié par voie édictale, le Tribunal administratif fédéral a déclaré irrecevable un recours que X.________ a déposé contre la décision d'interdiction d'entrée en Suisse rendue à son encontre le 3 novembre 2015 par le Secrétariat d'Etat aux migrations.</w:t>
      </w:r>
    </w:p>
    <w:p>
      <w:r>
        <w:rPr>
          <w:b/>
        </w:rPr>
        <w:t>E. 2</w:t>
      </w:r>
    </w:p>
    <w:p>
      <w:r>
        <w:t>Par courrier du 25 avril 2016, X.________ dépose un recours contre l'arrêt du 29 février 2016 auprès du Tribunal fédéral.</w:t>
      </w:r>
    </w:p>
    <w:p>
      <w:r>
        <w:rPr>
          <w:b/>
        </w:rPr>
        <w:t>E. 3</w:t>
      </w:r>
    </w:p>
    <w:p>
      <w:r>
        <w:t>Le recours en matière de droit public est irrecevable contre les décisions en matière de droit des étrangers qui concernent l'entrée en Suisse ( art. 83 let . c ch 1 de la loi fédérale du 17 juin 2015 sur le Tribunal fédéral; LTF; RS 173.110).</w:t>
      </w:r>
    </w:p>
    <w:p>
      <w:r>
        <w:t>En l'espèce, le recours considéré comme recours en matière de droit public porte sur l'interdiction d'entrer en Suisse; il est par conséquent irrecevable. Le recours constitutionnel subsidiaire est quant à lui irrecevable contre les décisions du Tribunal administratif fédéral ( art. 113 LTF</w:t>
      </w:r>
    </w:p>
    <w:p>
      <w:r>
        <w:t>a contrario ).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d'écritures. Il se justifie de ne pas percevoir de frais de justice ( art. 66 al. 1 LTF ). Il n'est pas alloué de dépens (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