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2C_359/2015 vom 10. September 2015</w:t>
      </w:r>
    </w:p>
    <w:p>
      <w:r>
        <w:t>Bundesgericht, 2015-09-10, FR</w:t>
      </w:r>
    </w:p>
    <w:p>
      <w:r>
        <w:rPr>
          <w:b/>
        </w:rPr>
        <w:t xml:space="preserve">Quelle: </w:t>
      </w:r>
      <w:r>
        <w:t>https://mcp.opencaselaw.ch/entscheid/bger_2C_359_2015</w:t>
      </w:r>
    </w:p>
    <w:p>
      <w:r>
        <w:t>FR: TF 2C_359/2015 du 10 septembre 2015</w:t>
      </w:r>
    </w:p>
    <w:p>
      <w:r>
        <w:t>IT: TF 2C_359/2015 del 10 settembre 2015</w:t>
      </w:r>
    </w:p>
    <w:p>
      <w:pPr>
        <w:pStyle w:val="Heading2"/>
      </w:pPr>
      <w:r>
        <w:t>Erwägungen</w:t>
      </w:r>
    </w:p>
    <w:p>
      <w:r>
        <w:rPr>
          <w:b/>
        </w:rPr>
        <w:t>E. 1</w:t>
      </w:r>
    </w:p>
    <w:p>
      <w:r>
        <w:t>Le Tribunal fédéral examine d'office et librement la recevabilité des recours qui lui sont soumis ( ATF 139 III 133 consid. 1 p. 133).</w:t>
      </w:r>
    </w:p>
    <w:p>
      <w:r>
        <w:rPr>
          <w:b/>
        </w:rPr>
        <w:t>E. 1.1</w:t>
      </w:r>
    </w:p>
    <w:p>
      <w:r>
        <w:t>Le recourant n'a pas qualifié son recours. Cette imprécision ne saurait lui nuire, pour autant que l'acte remplisse les exigences légales de la voie de recours qui est ouverte ( ATF 136 II 489 consid. 2.1 p. 491).</w:t>
      </w:r>
    </w:p>
    <w:p>
      <w:r>
        <w:rPr>
          <w:b/>
        </w:rPr>
        <w:t>E. 1.2</w:t>
      </w:r>
    </w:p>
    <w:p>
      <w:r>
        <w:t>Selon l' art. 83 let . c ch. 2 LTF, le recours en matière de droit public est irrecevable contre les décisions relatives à une autorisation de droit des étrangers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w:t>
      </w:r>
    </w:p>
    <w:p>
      <w:r>
        <w:t>Le recourant se prévaut de ses liens étroits avec son fils mineur, de nationalité française et titulaire en Suisse d'une autorisation de séjour UE/AELE. Cette relation étant potentiellement de nature à lui conférer un droit à l'obtention d'une autorisation de séjour sous l'angle de son droit au respect de sa vie privée et familiale, son recours échappe au motif d'irrecevabilité prévu à l' art. 83 let . c ch. 2 LTF, étant précisé que le point de savoir si le recourant remplit les conditions pour obtenir l'autorisation requise relève du fond et non de la recevabilité (cf. ATF 136 II 177 consid. 1.1 p. 179).</w:t>
      </w:r>
    </w:p>
    <w:p>
      <w:r>
        <w:rPr>
          <w:b/>
        </w:rPr>
        <w:t>E. 1.3</w:t>
      </w:r>
    </w:p>
    <w:p>
      <w:r>
        <w:t>Pour le surplus, l'arrêt attaqué est une décision finale ( art. 90 LTF ), rendue en dernière instance cantonale par un tribunal supérieur ( art. 86 al. 1 let . d et al. 2 LTF). Déposé en temps utile, compte tenu des féries ( art. 46 al. 1 let. a et art. 100 al. 1 LTF ) par le destinataire de l'arrêt attaqué qui a qualité pour recourir au sens de l' art. 89 al. 1 LTF , le recours, envisagé comme un recours en matière de droit public, est en principe recevable, sous réserve de ce qui suit.</w:t>
      </w:r>
    </w:p>
    <w:p>
      <w:r>
        <w:rPr>
          <w:b/>
        </w:rPr>
        <w:t>E. 1.4</w:t>
      </w:r>
    </w:p>
    <w:p>
      <w:r>
        <w:t>Aucun fait nouveau ni preuve nouvelle ne peut être présenté à moins de résulter de la décision de l'autorité précédente ( art. 99 al. 1 LTF ). La lettre (non datée) de l'ex-femme du recourant, que ce dernier a annexée à son recours, est un moyen de preuve nouveau et par conséquent irrecevable.</w:t>
      </w:r>
    </w:p>
    <w:p>
      <w:r>
        <w:rPr>
          <w:b/>
        </w:rPr>
        <w:t>E. 1.5</w:t>
      </w:r>
    </w:p>
    <w:p>
      <w:r>
        <w:t>Devant le Tribunal fédéral, les conclusions nouvelles sont irrecevables ( art. 99 al. 2 LTF ). Les conclusions du recourant concernant la "venue en Suisse de [s]a femme" et l'octroi d'un "visa touristique" à celle-ci - qui n'était en outre pas partie à la procédure cantonale - sont irrecevables.</w:t>
      </w:r>
    </w:p>
    <w:p>
      <w:r>
        <w:rPr>
          <w:b/>
        </w:rPr>
        <w:t>E. 1.6</w:t>
      </w:r>
    </w:p>
    <w:p>
      <w:r>
        <w:t>Selon l' art. 42 al. 1 LTF , les mémoires de recours doivent contenir des conclusions. Le recourant doit donc indiquer sur quels points la décision est attaquée et quelles sont les modifications demandées. Si les conclusions font défaut ou sont, dans leur ensemble, insuffisantes, le recours est irrecevable. Toutefois, l'interdiction du formalisme excessif impose de ne pas se montrer trop strict dans la formulation des conclusions si, à la lecture du mémoire, on comprend clairement ce que veut le recourant (cf. arrêts 2C_1189/2014 du 26 juin 2015 consid. 1.4 et 5A_827/2012 du 21 décembre 2012 consid. 1.2). Tel est en particulier le cas lorsque le but et l'objet du recours ressortent sans aucun doute des motifs invoqués. Il convient en outre de ne pas se montrer trop formaliste si le justiciable, comme en l'espèce, n'est pas représenté par un avocat.</w:t>
      </w:r>
    </w:p>
    <w:p>
      <w:r>
        <w:t>En l'occurrence, bien que le mémoire de recours ne présente pas des conclusions claires et précises, l'écriture du recourant permet de déterminer ce qu'il requiert, c'est-à-dire l'annulation de l'arrêt attaqué et le renouvellement de son autorisation de séjour. Au regard de ce qui précède, il y a donc lieu d'entrer en matière sur le recours.</w:t>
      </w:r>
    </w:p>
    <w:p>
      <w:r>
        <w:rPr>
          <w:b/>
        </w:rPr>
        <w:t>E. 2</w:t>
      </w:r>
    </w:p>
    <w:p>
      <w:r>
        <w:t>Le recours en matière de droit public peut être formé pour violation du droit, tel qu'il est délimité par les art. 95 et 96 LTF . Sous réserve de la violation de droits fondamentaux et de dispositions de droit cantonal et intercantonal, qui suppose un grief invoqué et motivé (cf. art 106 al. 2 LTF ; ATF 136 II 304 consid. 2.5 p. 314), le Tribunal fédéral contrôle librement le respect du droit fédéral, qui comprend les droits de nature constitutionnelle (cf. art. 95 let. a et 106 al. 1 LTF ). A moins que la décision attaquée ne contienne des vices juridiques manifestes, il s'en tient toutefois aux arguments juridiques soulevés dans le recours (cf. art. 42 al. 1 et 2 LTF ; arrêt 2C_805/2013 du 21 mars 2014 consid. 2, non publié in ATF 140 II 202 ).</w:t>
      </w:r>
    </w:p>
    <w:p>
      <w:r>
        <w:rPr>
          <w:b/>
        </w:rPr>
        <w:t>E. 3.1</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313 s.)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contenus ( ATF 133 IV 286 consid. 6.2 p. 288).</w:t>
      </w:r>
    </w:p>
    <w:p>
      <w:r>
        <w:rPr>
          <w:b/>
        </w:rPr>
        <w:t>E. 3.2</w:t>
      </w:r>
    </w:p>
    <w:p>
      <w:r>
        <w:t>Dans la mesure où le recourant présente une argumentation appellatoire, en opposant sa propre version des faits à celle du Tribunal cantonal, sans cependant invoquer ni l'arbitraire, ni une constatation manifestement inexacte des faits, le Tribunal fédéral ne peut pas en tenir compte. Il statuera donc sur la base des faits tels qu'ils ressortent de l'arrêt attaqué. En particulier, la Cour de céans retiendra, ce qui ressort expressément de l'arrêt entrepris, que l'intéressé n'a pas l'autorité parentale sur son fils. Le recourant se contente d'affirmer le contraire, mais sans apporter le moindre élément en ce sens, ni même soutenir que l'arrêt attaqué serait manifestement inexact sur ce point.</w:t>
      </w:r>
    </w:p>
    <w:p>
      <w:r>
        <w:rPr>
          <w:b/>
        </w:rPr>
        <w:t>E. 4</w:t>
      </w:r>
    </w:p>
    <w:p>
      <w:r>
        <w:t>Le recourant a un fils, qui est mineur et titulaire en Suisse d'une autorisation de séjour UE/AELE. Cependant, dans la mesure où il n'en a pas la garde, l'intéressé ne peut pas se prévaloir de l'Accord du 21 juin 1999 entre la Confédération suisse, d'une part, et la Communauté européenne et ses Etats membres, d'autre part, sur la libre circulation des personnes (ALCP; RS 0.142.112.681) en relation avec les rapports qu'il entretient avec son fils (cf. ATF 139 II 393 consid. 4.2.5 p. 401; arrêt 2C_606/2013 du 4 avril 2014 consid. 3.4). C'est donc à juste titre que l'autorité précédente n'a pas appliqué l'ALCP.</w:t>
      </w:r>
    </w:p>
    <w:p>
      <w:r>
        <w:rPr>
          <w:b/>
        </w:rPr>
        <w:t>E. 5</w:t>
      </w:r>
    </w:p>
    <w:p>
      <w:r>
        <w:t>Sans citer de norme légale, le recourant - qui n'est pas assisté par un avocat - critique l'arrêt entrepris et demande au Tribunal fédéral une réponse "favorable pour [s]on permis". Il sied dans ce cas de ne pas se montrer trop formaliste en relation avec l'obligation de motivation imposée par l' art. 42 al. 2 LTF .</w:t>
      </w:r>
    </w:p>
    <w:p>
      <w:r>
        <w:rPr>
          <w:b/>
        </w:rPr>
        <w:t>E. 5.1</w:t>
      </w:r>
    </w:p>
    <w:p>
      <w:r>
        <w:t>Selon l'art. 50 al. 1 let. a LEtr (RS 142.20),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 ATF 136 II 113 consid. 3.3.3 p. 119). En l'espèce, il n'est pas contesté que l'union conjugale a duré plus de trois ans, de sorte que seule reste à analyser la question de l'intégration réussie au sens de l'art. 50 al. 1 let. a LEtr.</w:t>
      </w:r>
    </w:p>
    <w:p>
      <w:r>
        <w:rPr>
          <w:b/>
        </w:rPr>
        <w:t>E. 5.1.1</w:t>
      </w:r>
    </w:p>
    <w:p>
      <w:r>
        <w:t>Le principe de l'intégration doit permettre aux étrangers dont le séjour est légal et durable de participer à la vie économique, sociale et culturelle de la Suisse (art. 4 al. 2 LEtr; cf. ATF 134 II 1 consid. 4.1 p. 4 s.). D'après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 art. 77 al. 4 OASA qu'à l' art. 4 OIE , illustre le caractère non exhaustif des critères d'intégration qui sont énumérés par ces dispositions et met aussi en exergue le fait que la notion "d'intégration réussie" doit s'examiner à l'aune d'une appréciation globale des circonstances (arrêt 2C_14/2014 du 27 août 2014 consid. 4.6.1, non publié in ATF 140 II 345 ). Dans l'examen de ces critères d'intégration, les autorités compétentes disposent d'un large pouvoir d'appréciation que le Tribunal fédéral ne revoit qu'avec retenue (cf. arrêt 2C_292/2015 du 4 juin 2015 consid. 4.2). Finalement, en ce qui concerne l'intégration professionnelle, il convient de rappeler que, d'après la jurisprudence du Tribunal fédéral, l'essentiel en la matière est que l'étranger subvienne à ses besoins, n'émarge pas à l'aide sociale et ne s'endette pas (cf. arrêts 2C_749/2011 du 20 janvier 2012 consid. 3.3 et 2C_430/2011 du 11 octobre 2011 consid. 4.2).</w:t>
      </w:r>
    </w:p>
    <w:p>
      <w:r>
        <w:rPr>
          <w:b/>
        </w:rPr>
        <w:t>E. 5.1.2</w:t>
      </w:r>
    </w:p>
    <w:p>
      <w:r>
        <w:t>En l'espèce, il ressort des constatations cantonales, qui lient le Tribunal fédéral ( art. 105 al. 1 LTF ; cf. supra consid. 3.1), que depuis son arrivée en Suisse le recourant a travaillé de manière "très épisodique", par le biais d'emplois temporaires, et qu'une tentative de travailler de manière indépendante s'est soldée par un échec en 2011. En outre, entre 2008 et 2014, le montant de ses dettes s'est régulièrement accru, pour atteindre 12'401 fr. de poursuites et 33'197 fr. d'actes de défaut de biens au 29 janvier 2014. Parallèlement, compte tenu d'un subside mensuel de 2'185 fr. versé par l'aide sociale - dont il est durablement dépendant -, la dette sociale de l'intéressé et passée de 16'461 fr. en 2010 à 73'725 fr. en 2014.</w:t>
      </w:r>
    </w:p>
    <w:p>
      <w:r>
        <w:t>Au vu de ce qui précède, force est de constater que le recourant n'est pas professionnellement intégré en Suisse. Par ailleurs, il ne résulte pas des constatations cantonales que le recourant aurait invoqué ni établi devant le Tribunal cantonal l'existence de liens socio-professionnels ou culturels particulièrement intenses avec la Suisse et ses habitants, sous réserve des rapports qu'il entretient avec son fils et qui seront examinés à l'aune des articles 50 al. 1 let. b LEtr, 8 par. 1 CEDH et 13 Cst. (cf. consid. 5.2 ci-dessous). Ainsi, le Tribunal cantonal n'a pas violé l'art. 50 al. 1 let. a LEtr en refusant d'admettre une intégration réussie.</w:t>
      </w:r>
    </w:p>
    <w:p>
      <w:r>
        <w:rPr>
          <w:b/>
        </w:rPr>
        <w:t>E. 5.2</w:t>
      </w:r>
    </w:p>
    <w:p>
      <w:r>
        <w:t>Le recourant invoque le rapport très intense qu'il entretient avec son fils en mentionnant son "droit au respect de la vie privée et familiale", ce qui suffit pour que le Tribunal fédéral examine ce point sous l'angle des articles 8 CEDH et 13 Cst. en lien avec l'art. 50 al. 1 let. b LEtr (cf. supra consid. 5).</w:t>
      </w:r>
    </w:p>
    <w:p>
      <w:r>
        <w:rPr>
          <w:b/>
        </w:rPr>
        <w:t>E. 5.2.1</w:t>
      </w:r>
    </w:p>
    <w:p>
      <w:r>
        <w:t>Selon la jurisprudence, une relation digne de protection avec un enfant qui a le droit de séjourner en Suisse peut constituer une raison personnelle majeure justifiant la poursuite du séjour en Suisse du parent concerné sous l'angle de l'art. 50 al. 1 let. b LEtr (cf. ATF 139 I 315 consid. 2.1 p. 319). Le droit au respect de la vie familiale garanti par les art. 8 CEDH et 13 Cst. doit être pris en compte dans l'application de l'art. 50 al. 1 let. b LEtr, dont l'application ne saurait être plus restrictive que celle des articles 8 CEDH et 13 Cst. (cf. arrêt 2C_1117/2014 du 24 avril 2015 consid. 4.1 et les références citées).</w:t>
      </w:r>
    </w:p>
    <w:p>
      <w:r>
        <w:rPr>
          <w:b/>
        </w:rPr>
        <w:t>E. 5.2.2</w:t>
      </w:r>
    </w:p>
    <w:p>
      <w:r>
        <w:t>Le parent qui, à l'instar du recourant,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 il suffit en règle générale que le parent vivant à l'étranger exerce son droit de visite dans le cadre de séjours de courte durée, au besoin en aménageant ses modalités quant à la fréquence et à la durée (cf. ATF 139 I 315 consid. 2.2 p. 319). Le droit de visite d'un parent sur son enfant ne doit en effet pas nécessairement s'exercer à un rythme bimensuel et peut également être organisé de manière à être compatible avec des séjours dans des pays différents (cf. arrêt 2C_318/2013 du 5 septembre 2013 consid. 3.3.1).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140 I 145 consid. 3.2 p. 147 et les références citées). Ces exigences doivent être appréciées ensemble et faire l'objet d'une pesée des intérêts globale (cf. arrêts 2C_723/2014 du 6 août 2015 consid. 2.3 et 2C_728/2014 du 3 juin 2015 consid. 4.1 et 4.4).</w:t>
      </w:r>
    </w:p>
    <w:p>
      <w:r>
        <w:rPr>
          <w:b/>
        </w:rPr>
        <w:t>E. 5.2.3</w:t>
      </w:r>
    </w:p>
    <w:p>
      <w:r>
        <w:t>En l'espèce, il ressort de l'arrêt attaqué que le recourant entretient un lien affectif intense avec son fils, qui est de nationalité française et dispose d'une autorisation de séjour UE/AELE lui permettant de résider en Suisse. Cependant, comme le relève le Tribunal cantonal, l'intéressé ne contribue pas à l'entretien de son enfant, de sorte qu'il ne peut pas invoquer une relation économique particulièrement forte avec celui-ci.</w:t>
      </w:r>
    </w:p>
    <w:p>
      <w:r>
        <w:t>En outre, les juges précédents ont constaté que, sous l'angle du droit pénal, le recourant a été condamné par ordonnance pénale du 25 mars 2013 à une amende de 150 francs pour contravention à la LStup. De plus, l'arrêt entrepris relève qu'il a été placé en détention provisoire le 4 février 2015, car il était soupçonné de délit contre ladite loi. A ce sujet, le Tribunal cantonal observe que, lors de l'interrogatoire effectué le 6 février 2015 par le Tribunal des mesures de contraintes du canton de Fribourg, le recourant a admis être propriétaire de 18 grammes d'héroïne qui avaient été retrouvés dans sa voiture. Il a en outre reconnu avoir acheté 25 grammes d'héroïne et en avoir revendu 10 grammes à plusieurs acheteurs différents. Indépendamment de la sanction pénale encourue par la suite par l'intéressé, un tel comportement ne permet pas de retenir qu'il aurait fait preuve en Suisse d'un comportement irréprochable. En outre, ces faits sont récents.</w:t>
      </w:r>
    </w:p>
    <w:p>
      <w:r>
        <w:t>Dans ces circonstances, en se fondant sur l'absence de lien économique entre le recourant et son enfant, ainsi que sur le comportement en Suisse de l'intéressé durant ces dernières années, les précédents juges n'ont pas violé le droit fédéral en jugeant qu'il ne remplissait pas les conditions de l'art. 50 al. 1 let. b LEtr.</w:t>
      </w:r>
    </w:p>
    <w:p>
      <w:r>
        <w:rPr>
          <w:b/>
        </w:rPr>
        <w:t>E. 5.3</w:t>
      </w:r>
    </w:p>
    <w:p>
      <w:r>
        <w:t>En dernier lieu, hormis les liens du recourant avec son enfant, dont on a vu qu'ils ne justifient pas à eux seuls son séjour en Suisse, l'arrêt attaqué ne révèle aucun élément déterminant qui ferait apparaître le refus de prolonger l'autorisation de séjour de l'intéressé comme disproportionné (cf. art. 96 LEtr et art. 8 par. 2 CEDH ). En tenant compte de l'âge d'arrivée en Suisse du recourant (qui avait plus de 25 ans), de la durée de son séjour régulier en Suisse, de son comportement sous l'angle pénal, du fait qu'il n'est pas intégré professionnellement dans notre pays et qu'il est durablement dépendant de l'aide sociale, ainsi que de la possibilité de conserver des liens avec son fils en dépit de l'éloignement, il faut constater que le refus de prolonger l'autorisation de séjour du recourant n'est pas une mesure disproportionnée et qu'il ne viole ni la LEtr ni les art. 8 CEDH ainsi que 13 Cst.</w:t>
      </w:r>
    </w:p>
    <w:p>
      <w:r>
        <w:t>Les considérants qui précèdent conduisent au rejet du recours dans la mesure où il est recevable.</w:t>
      </w:r>
    </w:p>
    <w:p>
      <w:r>
        <w:rPr>
          <w:b/>
        </w:rPr>
        <w:t>E. 6</w:t>
      </w:r>
    </w:p>
    <w:p>
      <w:r>
        <w:t>Le recourant a sollicité sa mise au bénéfice de l'assistance judiciaire. La cause paraissant d'emblée dépourvue de chances de succès, cette requête doit être rejetée ( art. 64 al. 1 LTF ). Les frais seront mis à la charge du recourant, qui succombe, mais fixés en tenant compte de sa situation financière obérée (art. 65 al. 2 et 66 al. 1 LTF).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