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2C_353/2019 vom 21. Mai 2019</w:t>
      </w:r>
    </w:p>
    <w:p>
      <w:r>
        <w:t>Bundesgericht, 2019-05-21, IT</w:t>
      </w:r>
    </w:p>
    <w:p>
      <w:r>
        <w:rPr>
          <w:b/>
        </w:rPr>
        <w:t xml:space="preserve">Quelle: </w:t>
      </w:r>
      <w:r>
        <w:t>https://mcp.opencaselaw.ch/entscheid/bger_2C_353_2019</w:t>
      </w:r>
    </w:p>
    <w:p>
      <w:r>
        <w:t>FR: TF 2C_353/2019 du 21 mai 2019</w:t>
      </w:r>
    </w:p>
    <w:p>
      <w:r>
        <w:t>IT: TF 2C_353/2019 del 21 maggio 2019</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144 II 184 consid. 1 pag. 186; 143 IV 85 consid. 1.1 pag. 87 e rispettivi rinvii).</w:t>
      </w:r>
    </w:p>
    <w:p>
      <w:r>
        <w:rPr>
          <w:b/>
        </w:rPr>
        <w:t>E. 2.1</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 applicabile alla fattispecie in base al principio dell'unità della procedura (sentenza 2D_37/2010 del 23 novembre 2010 consid. 1.2) - in ambito di polizia degli stranieri tale rimedio è tuttavia escluso contro decisioni concernenti permessi o autorizzazioni al cui ottenimento né il diritto federale né il diritto internazionale conferiscono un diritto.</w:t>
      </w:r>
    </w:p>
    <w:p>
      <w:r>
        <w:rPr>
          <w:b/>
        </w:rPr>
        <w:t>E. 2.2</w:t>
      </w:r>
    </w:p>
    <w:p>
      <w:r>
        <w:t>Sebbene oggetto di giudizio possa essere unicamente la questione dell'inammissibilità del gravame presentato dinanzi al Tribunale cantonale amministrativo, la procedura ha preso avvio dal rifiuto di concedere alla ricorrente un permesso di dimora UE/AELS. È quindi di principio ammissibile il ricorso in materia di diritto pubblico, siccome la ricorrente, cittadina italiana, può appellarsi all'ALC (RS 0.142.112.681) per far valere un diritto a soggiornare in Svizzera, per svolgervi o no un'attività lucrativa (sentenza 2C_477/2015 del 29 maggio 2015 consid. 2.2. con rinvio).</w:t>
      </w:r>
    </w:p>
    <w:p>
      <w:r>
        <w:rPr>
          <w:b/>
        </w:rPr>
        <w:t>E. 2.3</w:t>
      </w:r>
    </w:p>
    <w:p>
      <w:r>
        <w:t>In ragione dell'effetto devolutivo dei gravami sin qui interposti, la ricorrente è legittimata a formulare conclusioni riguardanti solo l'annullamento o la riforma della sentenza del Tribunale cantonale amministrativo. In quanto chiede il rilascio di un permesso di dimora tale conclusione è inammissibile ( DTF 134 II 142 consid. 1.4 pag. 144).</w:t>
      </w:r>
    </w:p>
    <w:p>
      <w:r>
        <w:rPr>
          <w:b/>
        </w:rPr>
        <w:t>E. 2.4</w:t>
      </w:r>
    </w:p>
    <w:p>
      <w:r>
        <w:t>L'impugnativa può riguardare solo la questione dell'inammissibilità per mancato versamento dell'anticipo chiesto per le spese giudiziarie, quindi l'eventuale applicazione incostituzionale del diritto procedurale cantonale. Ora, l' art. 106 cpv. 2 LTF impone alla parte ricorrente di specificare quali diritti di carattere costituzionale ritiene lesi e di esporre le sue censure in modo chiaro, circostanziato ed esaustivo ( DTF 142 III 364 consid. 2.4 pag. 368; 141 I 36 consid. 1.3 pag. 41; 135 III 232 consid. 1.2 pag. 234 e rispettivi rinvii).</w:t>
      </w:r>
    </w:p>
    <w:p>
      <w:r>
        <w:rPr>
          <w:b/>
        </w:rPr>
        <w:t>E. 2.5</w:t>
      </w:r>
    </w:p>
    <w:p>
      <w:r>
        <w:t>Nel caso concreto l'allegato ricorsuale si esaurisce in una serie di precisazioni puntuali sulla situazione della ricorrente. Nulla contiene invece riguardo all'eventuale applicazione incostituzionale del diritto procedurale cantonale, segnatamente riguardo ad un'interpretazione arbitraria (su questa nozione vedasi DTF 138 I 49 consid. 7.1 pag. 51; 137 I 1 consid. 2.4 pag. 5; 136 I 316 consid. 2.2.2 pag. 318 seg.; 134 II 124 consid. 4.1 pag. 133) della conseguenza che deriva dalla mancata osservanza del termine accordato per versare un anticipo delle presunte spese processuali, cioè l'inammissibilità dell'allegato ricorsuale (art. 47 cpv. 3 LPAmm). Esso sfugge pertanto ad un esame di merito.</w:t>
      </w:r>
    </w:p>
    <w:p>
      <w:r>
        <w:rPr>
          <w:b/>
        </w:rPr>
        <w:t>E. 2.6</w:t>
      </w:r>
    </w:p>
    <w:p>
      <w:r>
        <w:t>A titolo abbondanziale va aggiunto che un ricorso contenente censure di merito avverso un giudizio d'inammissibilità non soddisfa le esigenze di motivazione riferite allo specifico oggetto del litigio ( DTF 123 V 335 consid. 1a pag. 336 seg. e 118 Ib 134 consid. 2 pag. 136).</w:t>
      </w:r>
    </w:p>
    <w:p>
      <w:r>
        <w:rPr>
          <w:b/>
        </w:rPr>
        <w:t>E. 2.7</w:t>
      </w:r>
    </w:p>
    <w:p>
      <w:r>
        <w:t>Infine la ricorrente non fa valere dinanzi a questa Corte elementi che permetterebbero di trattare il suo gravame alla stregua di un'istanza di restituzione in intero dei termini da trasmettere all'autorità cantonale per competenza.</w:t>
      </w:r>
    </w:p>
    <w:p>
      <w:r>
        <w:rPr>
          <w:b/>
        </w:rPr>
        <w:t>E. 2.8</w:t>
      </w:r>
    </w:p>
    <w:p>
      <w:r>
        <w:t>Per i motivi illustrati il ricorso si avvera pertanto manifestamente inammissibile e può essere deciso secondo la procedura semplificata di cui all' art. 108 cpv. 1 LTF .</w:t>
      </w:r>
    </w:p>
    <w:p>
      <w:r>
        <w:rPr>
          <w:b/>
        </w:rPr>
        <w:t>E. 3</w:t>
      </w:r>
    </w:p>
    <w:p>
      <w:r>
        <w:t>Comunicazione alla ricorrente, alla Sezione della popolazione del Dipartimento delle istituzioni, al Consiglio di Stato e al Giudice delegato del Tribunale amministrativo del Cantone Ticino nonché alla Segreteria di Stato della migrazione SEM.</w:t>
      </w:r>
    </w:p>
    <w:p>
      <w:r>
        <w:t>Losanna, 21 maggio 2019</w:t>
      </w:r>
    </w:p>
    <w:p>
      <w:r>
        <w:t>In nome della II Corte di diritto pubblico</w:t>
      </w:r>
    </w:p>
    <w:p>
      <w:r>
        <w:t>del Tribunale federale svizzero</w:t>
      </w:r>
    </w:p>
    <w:p>
      <w:r>
        <w:t>Il Giudice presidente: Zünd</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