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2C_353/2015 vom 23. Mai 2016</w:t>
      </w:r>
    </w:p>
    <w:p>
      <w:r>
        <w:t>Bundesgericht, 2016-05-23, DE</w:t>
      </w:r>
    </w:p>
    <w:p>
      <w:r>
        <w:rPr>
          <w:b/>
        </w:rPr>
        <w:t xml:space="preserve">Quelle: </w:t>
      </w:r>
      <w:r>
        <w:t>https://mcp.opencaselaw.ch/entscheid/bger_2C_353_2015</w:t>
      </w:r>
    </w:p>
    <w:p>
      <w:r>
        <w:t>FR: TF 2C_353/2015 du 23 mai 2016</w:t>
      </w:r>
    </w:p>
    <w:p>
      <w:r>
        <w:t>IT: TF 2C_353/2015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 m 10. Februar 2011 zugesprochen. Die Beschwerdeführerin beantragt einen Verzugszins, eventuell einen Bereicherungszins, bereits ab einem früheren Zeitpunkt.</w:t>
      </w:r>
    </w:p>
    <w:p>
      <w:r>
        <w:rPr>
          <w:b/>
        </w:rPr>
        <w:t>E. 2.1</w:t>
      </w:r>
    </w:p>
    <w:p>
      <w:r>
        <w:t>Die ElCom hat erwogen, aus dem Schreiben der Swissgrid vom 9. Februar 2011 gehe offensichtlich hervor, dass sie der Kernkraftwerk Gösgen-Däniken AG die Rückerstattung für die in den Jahren 2009 und 2010 geleisteten SDL-Akontozahlungen bis zum Erlass des Bundesgerichtsurteils vom 27. März 2013 definitiv verweigere. Eine Mahnung habe sich damit als überflüssig erwiesen. Die Swissgrid sei also mit dem Eintreffen des Schreibens am Folgetag (10. Februar 2010) in Verzug gesetzt worden. Vorher liege kein solcher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b KG erzwingen (E. 6). Auch die Vorbehalte anlässlich der Zahlungen könnten nicht als Verfalltagsabrede betrachtet werden (E. 7). Das spätere Schreiben der Beschwerdegegnerin vom 11. November 2010 könne ferner nicht als Erklärung im Sinne von Art. 108 Abs. 1 OR betrachtet werden, die eine Mahnung überflüssig gemacht hätte (E. 8.1 - 8.3). Dasselbe gelte mit Bezug auf das Tarifjahr 2010 auch für den Newsletter der ElCom 01/2011 vom 24. Januar 2011 (E. 8.4). Ein Bereicherungszins sei nicht geschuldet, da die Swissgrid nicht entsprechend bereichert sei bzw. eine Bereicherung nicht nachgewiesen sei (E. 9).</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Tarifverfügungen die aufschiebende Wirkung entzogen habe. Die Verweigerung der Verzinsung ab Zahlung sei auch ein Verstoss gegen Art. 7 Abs. 2 lit. c KG . Eventualiter sei ab Zahlung ein Bereicherungszins geschuldet und sei der Verzug mit dem Urteil des Bundesverwaltungsgerichts vom 8. Juli 2010 in Verbindung mit ihrem Vorbehalt bei der Zahlung eingetreten. Subeventualiter habe die Beschwerdegegnerin mit ihrem Schreiben vom 11. November 2010 definitiv ihre Zahlungsverweigerung erklärt und sei damit in Verzug geraten, subsubeventualiter sei dies jedenfalls mit dem Newsletter der ElCom vom 24. Januar 2011 der Fall gewesen.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4.2.2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lb 12 E. 3 ohne nähere Begründung in analoger Anwendung von Art. 1 Abs. 1 der damaligen Verordnung vom 30. Oktober 1978 über die Verzinsung ausstehender Stempelabgaben (AS 1978 1800) einen Vergütungszins zugesprochen auf der Rückerstattung einer zu Unrecht erhobenen Stempelsteuer. ln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10. Februar 2011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wurden die Tarifverfügungen gegenüber der Beschwerdeführerin zunächst formell rechtskräftig. Mit dem Urteil des Bundesgerichts vom 27. März 2013 wurde dann allerdings festgestellt, dass die Tarifverfügungen Zwischenverfügungen und nach wie vor anfechtbar waren; deshalb konnte auch die Beschwerdeführerin Anspruch auf Rückerstattung haben (vorne Lit. D.b). Die Frage der Fälligkeit kann jedoch offen bleiben, wenn sich erweist, dass vor dem von der Vorinstanz angenommenen Verzugstermin gar keine Mahnung vorliegt.</w:t>
      </w:r>
    </w:p>
    <w:p>
      <w:r>
        <w:rPr>
          <w:b/>
        </w:rPr>
        <w:t>E. 5.3.2</w:t>
      </w:r>
    </w:p>
    <w:p>
      <w:r>
        <w:t>Die Beschwerdeführerin ist der Auffassung, die Zahlung unter Vorbehalt habe den Verzug ausgelöst. In den Schreiben, in denen sie anlässlich der Zahlungen jeweils einen Vorbehalt ausdrückte, hat sie ausgeführt, sie werde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ihr eine freiwillige Bezahlung einer Nichtschuld im Sinne von Art. 63 Abs. 1 OR dereinst nicht entgegengehalten werden könne; sie werde sich ausdrücklich ein Rückforderungs- bzw. Verrechnungsrecht bezüglich allenfalls zu viel einkassierter Beträge vorbehalten.</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Von diesem Fall unterscheidet sich die vorliegende Konstellation schon dadurch, dass die Beschwerdeführerin anlässlich ihrer Zahlungen die Richtigkeit nicht konkret bestritten und die zugrunde liegenden Tarifverfügungen nicht angefochten, sondern nur "allfällige" künftige Rechtsverfahren und daraus resultierende Rückforderungen vorbehalten hat. Sodann liegt die Verfügungskompetenz nicht wie in jenem Fall bei der Rückerstattungsschuldnerin (hier: der Beschwerdegegnerin), sondern bei der ElCom (vorne E. 3). Es bestand kein Subordinationsverhältnis zwischen der Beschwerdegegnerin und der Beschwerdeführerin.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5.3),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Eventualstandpunkte zum Verzugseintritt</w:t>
      </w:r>
    </w:p>
    <w:p>
      <w:r>
        <w:rPr>
          <w:b/>
        </w:rPr>
        <w:t>E. 5.4.1</w:t>
      </w:r>
    </w:p>
    <w:p>
      <w:r>
        <w:t>Die Beschwerdeführerin ist eventualiter der Auffassung, mit dem Urteil des Bundesverwaltungsgerichts vom 8. Juli 2010 sei der Verzug eingetreten. Ihr anlässlich der Zahlung angebrachter Vorbehalt könne nach Treu und Glauben nur so verstanden werden, dass spätestens im Zeitpunkt dieses Leitentscheids ein Verfalltag vorliege. Sie wirft der Vorinstanz vor, den tatsächlichen Konsens zwischen den Parteien bezüglich dieses Verfalltags nicht beachtet zu haben.</w:t>
      </w:r>
    </w:p>
    <w:p>
      <w:r>
        <w:t>Die von der Beschwerdeführerin vor der Vorinstanz zum Beleg für den behaupteten Konsens vorgelegte E-Mail (Beilage 6 zur Beschwerde an das Bundesverwaltungsgericht) vermag diesen jedoch nicht zu beweisen: Erstens datiert sie erst vom 23. Dezember 2010 und belegt keinen früheren Konsens. Zweitens bezieht sich die E-Mail auf das Beispiel der Gommerkraftwerke, die aber rechtzeitig die Tarifverfügungen angefochten hatten; eine gleichlautende Meinungsäusserung der Beschwerdegegnerin bezüglich der Beschwerdeführerin ist nicht dargetan.</w:t>
      </w:r>
    </w:p>
    <w:p>
      <w:r>
        <w:t>Sodann war auch im Zeitpunkt des Urteils i.S. Gommerkraftwerke noch ungewiss, ob auch diejenigen Kraftwerksgesellschaften, welche gegen die Tarifverfügungen keine Beschwerde erhoben hatten, in den Genuss der Rückerstattungen gelangen würden. Die Tarifverfügungen waren gegenüber der Beschwerdeführerin formell rechtskräftig geworden. Es ist daher ungewiss, ob die Rückerstattungsforderung damals überhaupt entstanden und fällig war, was Voraussetzung für eine Inverzugsetzung wäre (vgl. vorne E. 4.2.2 und E. 5.3).</w:t>
      </w:r>
    </w:p>
    <w:p>
      <w:r>
        <w:t>Im Übrigen wäre selbst dann kein Verzug dargetan, wenn unterstellt würde, dass im Zeitpunkt des Urteils vom 8. Juli 2010 alle Beteiligten davon ausgingen, dass die geleisteten Akontozahlungen zurückerstattet werden müssten. Nach der dargelegten Lehre und Praxis (vorne E. 4.2.2) genügt es nicht als Inverzugsetzung, dass die Forderung bekannt und fällig ist; verlangt ist zusätzlich, dass der Gläubiger die Zahlung innert einer bestimmten Frist verlangt oder die Forderung einklagt. Das hat die Beschwerdeführerin im damaligen Zeitpunkt nicht getan.</w:t>
      </w:r>
    </w:p>
    <w:p>
      <w:r>
        <w:rPr>
          <w:b/>
        </w:rPr>
        <w:t>E. 5.4.2</w:t>
      </w:r>
    </w:p>
    <w:p>
      <w:r>
        <w:t>Die Beschwerdeführerin macht geltend, die Beschwerdegegnerin habe bereits mit ihrem Schreiben vom 11. November 2010 die Rückerstattung definitiv verweigert. Aus diesem Schreiben gehe deutlich hervor, dass die Beschwerdegegnerin die SDL-Akontozahlungen an Kraftwerke, die wie die Beschwerdeführerin gegen die Tarifverfügung 2009 der ElCom keine Beschwerde geführt hätten,</w:t>
      </w:r>
    </w:p>
    <w:p>
      <w:r>
        <w:t>nicht zurückleisten würde. Hätte die Vorinstanz das Schreiben vom 11. November 2010 bundesrechtskonform interpretiert, hätte es von einer endgültigen Weigerung (recte: Verweigerung) der Rückleistung der SDL-Akontozahlungen 2009 ausgehen müssen. Damit hätte der Verzug "spätestens mit dem 11. November 2010 begonnen" (S. 31/Rz. 132 der Beschwerdeschrift).</w:t>
      </w:r>
    </w:p>
    <w:p>
      <w:r>
        <w:t>Im Schreiben vom 11. November 2010 führte die Beschwerdegegnerin eingangs aus, inzwischen seien einige Punkte geklärt worden, es seien aber nach wie vor einige zu klärende Punkte offen. Sodann nahm sie Bezug auf das Urteil des Bundesverwaltungsgerichts und wies auf dessen Dispositiv hin, wonach die Verfügung "mit Bezug auf die Beschwerdeführerin aufgehoben" worden sei. Demgemäss bleibe die SDL-Restkostenverrechnung für die nicht beschwerdeführenden Kraftwerkbetreiber und auch für die Swissgrid verbindlich. Anspruch auf Rückerstattung hätten somit nur diejenigen Kraftwerke, welche eine Beschwerde gegen die Tarifverfügung 2009 eingereicht hätten. Die Beschwerdegegnerin brachte damit das damalige Verständnis des Urteils des Bundesverwaltungsgerichts zum Ausdruck (vgl. vorne Lit. D.a), bestritt aber nicht eine Rückforderung, falls eine solche gerichtlich angeordnet würde. Dabei ist insbesondere zu berücksichtigen, dass die Beschwerdegegnerin diesbezüglich nicht autonom handeln konnte, sondern ihrerseits ebenfalls an die Verfügungen der ElCom gebunden war und nicht in eigener Kompetenz die Rückzahlung leisten konnte, solange die Verfügung der ElCom ihr gegenüber nicht aufgehoben war. Das Schreiben vom 11. November 2010 kann deshalb nicht als verzugsauslösend betrachtet werden.</w:t>
      </w:r>
    </w:p>
    <w:p>
      <w:r>
        <w:rPr>
          <w:b/>
        </w:rPr>
        <w:t>E. 5.4.3</w:t>
      </w:r>
    </w:p>
    <w:p>
      <w:r>
        <w:t>Die Beschwerdeführerin betrachtet in einem weiteren Eventualstandpunkt den Newsletter der ElCom vom 24. Januar 2011 als endgültige Verweigerung der Rückzahlung und damit als verzugsauslösend. In diesem Newsletter habe die ElCom darüber informiert, dass sie die Tarifverfügung 2010 weder auf Gesuch hin noch von Amtes wegen in Wiedererwägung ziehen werde, weshalb die Tarifverfügung für Kraftwerksgesellschaften, welche diese Verfügung nicht angefochten hätten, weiter gelte. Damit habe die ElCom klargestellt, dass es keine Rückerstattung von Akontozahlungen an die Beschwerdeführerin geben werde, weshalb der Verzug spätestens am 24. Januar 2011 eingetreten sei.</w:t>
      </w:r>
    </w:p>
    <w:p>
      <w:r>
        <w:t>Die Vorinstanz hat hierzu mit Recht erwogen, die Umstände, die auf die Nichterfüllung der Leistungspflicht schliessen lassen, müssten sich aus dem Verhalten des Schuldners ergeben (oder zumindest aus Umständen, die dem Schuldner zuzurechnen sind, vgl. Urteil 4A_474/2009 vom 25. Mai 2010 E. 4.1. 1 [strafrechtliche Beschlagnahme, welche dem Schuldner die Leistung verunmöglichte]), nicht aus demjenigen von Dritten. Dieses Erfordernis ergibt sich aus dem klaren Wortlaut von Art. 108 Ziff. 1 OR . Es entspricht dem Umstand, dass Verzug immer nur im Verhältnis zwischen einem bestimmten Schuldner und einem bestimmten Gläubiger besteht, weshalb denn auch die Mahnung an den Schuldner gerichtet sein muss. Die Auffassung der Vorinstanz, die Beschwerdegegnerin habe die Rückleistung weder mit ihrem Schreiben vom 11. November 2010 noch sonstwie endgültig verweigert, weshalb die Beschwerdeführerin sie hätte mahnen müssen, erscheint daher nicht bundesrechtswidrig.</w:t>
      </w:r>
    </w:p>
    <w:p>
      <w:r>
        <w:t>Ein früheres Datum für den Beginn des Zinsenlaufes - den Verzugszins betreffend - wie es von den Vorinstanzen des Bundesgerichts festgesetzt bzw. geschützt wurde (10. Februar 2011, vgl. vorne E. 2.1 und E. 2.2), fällt aus all diesen Gründen ausser Betracht.</w:t>
      </w:r>
    </w:p>
    <w:p>
      <w:r>
        <w:rPr>
          <w:b/>
        </w:rPr>
        <w:t>E. 6</w:t>
      </w:r>
    </w:p>
    <w:p>
      <w:r>
        <w:t>Materielle Beurteilung Vergütungszins</w:t>
      </w:r>
    </w:p>
    <w:p>
      <w:r>
        <w:rPr>
          <w:b/>
        </w:rPr>
        <w:t>E. 6.1</w:t>
      </w:r>
    </w:p>
    <w:p>
      <w:r>
        <w:t>Nach den vorne E. 4.3 dargelegten Grundsätzen fehlt es vorliegend an den Voraussetzungen für einen Vergütungszins schon deshalb, weil die Beschwerdeführerin bei der Zahlung zwar einen Vorbehalt anbrachte, aber nicht zugleich Rechtsmittel ergriff, um die Forderung zu bestreiten.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den Tarifverfügungen vom 6. März 2009 und 4. März 2010 die grundsätzliche Kostenpflicht u.a.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(vgl. vorne E. 4.2.2). Zwar erfolgte die Zahlung der Beschwerdeführerin letztlich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der Beschwerdeführerin zumutbar, selber rechtzeitig Rechtsmittel zu ergreifen und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die Frage aufgeworfen, ob darin eine unzulässige Ausweitung des Streitgegenstands liege (da vor der ElCom nur ein Verzugszins geltend gemacht worden war), die Frage jedoch offen gelassen, da der Antrag ohnehin abzuweisen sei (E. 1.3 des angefochtenen Entscheides). In der Sache hat sie zunächst offen gelassen, ob auch im Verwaltungsrecht Anspruch auf Bereicherungszins bestehe (E. 9.4.2). Die Beschwerdeführerin mache nämlich keinen solchen geltend, sondern stütze den Verzinsungsanspruch auf den stromversorgungsrechtlichen Mechanismus der Verzinsung des Nettoumlaufvermögens, was aber nicht überzeuge (E. 9.5.1 - 9.5.3). Eine Ersparnisbereicherung in der Höhe der eingesparten Finanzierungskosten sei nicht substantiiert (E. 9.6.2).</w:t>
      </w:r>
    </w:p>
    <w:p>
      <w:r>
        <w:rPr>
          <w:b/>
        </w:rPr>
        <w:t>E. 7.2</w:t>
      </w:r>
    </w:p>
    <w:p>
      <w:r>
        <w:t>Die Beschwerdeführerin rügt zunächst, das Eintreten hätte nicht offen gelassen werden können; auf den Antrag auf Bereicherungszins sei einzutreten gewesen, da damit nicht der Streitgegenstand, sondern nur zulässigerweise dessen rechtliche Begründung geändert worden sei.</w:t>
      </w:r>
    </w:p>
    <w:p>
      <w:r>
        <w:t>Dass eine Rechtsmittelinstanz die Eintretensfrage offen lässt mit der Begründung, das Begehren sei ohnehin materiell abzuweisen, kommt häufig vor und ist grundsätzlich nicht zu beanstanden ( BGE 133 V 579 nicht publ. E. 8.2). Vorliegend hat die Vorinstanz die Frage des Bereicherungszinses materiell geprüft. Es besteht kein Grund, den angefochtenen Entscheid deswegen aufzuheben, weil sie das Eintreten offen liess.</w:t>
      </w:r>
    </w:p>
    <w:p>
      <w:r>
        <w:rPr>
          <w:b/>
        </w:rPr>
        <w:t>E. 7.3</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7.4</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(Art. 13 Abs. 3</w:t>
      </w:r>
    </w:p>
    <w:p>
      <w:r>
        <w:t>bis und Anhang 1 StromVV; BGE 138 II 465 E. 8.6.2 S. 495 f.). Es kann daher keine Vermutung geben, dass die Beschwerdegegnerin auf den von ihr vereinnahmten Akontozahlungen effektiv einen Zins in der Höhe des WACC erzielt hat.</w:t>
      </w:r>
    </w:p>
    <w:p>
      <w:r>
        <w:rPr>
          <w:b/>
        </w:rPr>
        <w:t>E. 7.5</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7.5.1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7.5.2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7.5.3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liegt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