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2C_353/2010 vom 6. September 2010</w:t>
      </w:r>
    </w:p>
    <w:p>
      <w:r>
        <w:t>Bundesgericht, 2010-09-06, DE</w:t>
      </w:r>
    </w:p>
    <w:p>
      <w:r>
        <w:rPr>
          <w:b/>
        </w:rPr>
        <w:t xml:space="preserve">Quelle: </w:t>
      </w:r>
      <w:r>
        <w:t>https://mcp.opencaselaw.ch/entscheid/bger_2C_353_2010</w:t>
      </w:r>
    </w:p>
    <w:p>
      <w:r>
        <w:t>FR: TF 2C_353/2010 du 6 septembre 2010</w:t>
      </w:r>
    </w:p>
    <w:p>
      <w:r>
        <w:t>IT: TF 2C_353/2010 del 6 settembre 2010</w:t>
      </w:r>
    </w:p>
    <w:p>
      <w:pPr>
        <w:pStyle w:val="Heading2"/>
      </w:pPr>
      <w:r>
        <w:t>Erwägungen</w:t>
      </w:r>
    </w:p>
    <w:p>
      <w:r>
        <w:rPr>
          <w:b/>
        </w:rPr>
        <w:t>E. 1</w:t>
      </w:r>
    </w:p>
    <w:p>
      <w:r>
        <w:t>Das Bundesgericht prüft seine Zuständigkeit und die Zulässigkeit eines Rechtsmittels von Amtes wegen und mit freier Kognition ( Art. 29 Abs. 1 BGG ; BGE 135 III 1 E. 1.1 S. 3). Gegen Entscheide des Bundesverwaltungsgerichts auf dem Gebiet der Mehrwertsteuer ist die Beschwerde in öffentlich-rechtlichen Angelegenheiten an das Bundesgericht zulässig (Art. 82 lit. a in Verbindung mit Art. 83 sowie Art. 86 Abs. 1 lit. a BGG ). Der Beschwerdeführer ist gemäss Art. 89 Abs. 1 BGG zur fristgerecht ( Art. 100 BGG ) eingereichten Beschwerde legitimiert.</w:t>
      </w:r>
    </w:p>
    <w:p>
      <w:r>
        <w:rPr>
          <w:b/>
        </w:rPr>
        <w:t>E. 2.1</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2.2</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Entscheids auseinandersetzt ( BGE 134 II 244 E. 2.1 S. 245 f.).</w:t>
      </w:r>
    </w:p>
    <w:p>
      <w:r>
        <w:rPr>
          <w:b/>
        </w:rPr>
        <w:t>E. 3</w:t>
      </w:r>
    </w:p>
    <w:p>
      <w:r>
        <w:t>Der Beschwerdeführer verweist verschiedentlich auf Eingaben im Einsprache- und Beschwerdeverfahren. Da die Begründung der Beschwerdebegehren jedoch in der Rechtsschrift selber enthalten sein muss (vgl. E. 2.2 hiervor), ist auf die entsprechenden Verweise nicht einzutreten.</w:t>
      </w:r>
    </w:p>
    <w:p>
      <w:r>
        <w:t>Ebenfalls nicht einzutreten ist auf den Eventualantrag, das Bundesverwaltungsgericht sei anzuweisen, sein Urteil vom 12. Dezember 2007 einer Revision zu unterziehen. Vor dem Bundesgericht kann nur die Revision eines Entscheids des Bundesgerichts verlangt werden (vgl. Art. 121 BGG ). Die Revision von Entscheiden des Bundesverwaltungsgerichts richtet sich hingegen nach Art. 45 ff. des Verwaltungsgerichtsgesetzes vom 17. Juni 2005 (VGG; SR 173.32) und kann nur beim Bundesverwaltungsgericht verlangt werden.</w:t>
      </w:r>
    </w:p>
    <w:p>
      <w:r>
        <w:rPr>
          <w:b/>
        </w:rPr>
        <w:t>E. 4.1</w:t>
      </w:r>
    </w:p>
    <w:p>
      <w:r>
        <w:t>Das Bundesverwaltungsgericht hat im angefochtenen Entscheid unter anderem ausgeführt, in seinem (ersten) Urteil vom 12. Dezember 2007 habe es diejenigen Fälle, bei denen die ESTV die Margenbesteuerung verweigert und die Vorsteuern aufgerechnet habe, endgültig abgehandelt und es liege insoweit ein Endentscheid vor. Mangels Anfechtung seien die fraglichen Erwägungen für die ESTV, für den Beschwerdeführer wie auch für das Bundesverwaltungsgericht verbindlich und nähmen an der Rechtskraft des Dispositivs teil. Das Bundesverwaltungsgericht habe nur noch die Fälle zu prüfen, bei den die Margenbesteuerung nicht zu Anwendung gekommen sei (angefochtener Entscheid E. 5.1.2 und 5.1.3).</w:t>
      </w:r>
    </w:p>
    <w:p>
      <w:r>
        <w:t>Der Beschwerdeführer bestreitet diese Auffassung und bezeichnet die von der ESTV anlässlich der Kontrolle vom November 2000 vorgenommenen Aufrechnungen als willkürlich; sie seien vollständig zu überprüfen.</w:t>
      </w:r>
    </w:p>
    <w:p>
      <w:r>
        <w:rPr>
          <w:b/>
        </w:rPr>
        <w:t>E. 4.2</w:t>
      </w:r>
    </w:p>
    <w:p>
      <w:r>
        <w:t>Die Vorinstanz hat zu Recht ausgeführt, dass sie - wie die ESTV - an die Begründung im Urteil vom 12. Dezember 2007 gebunden sei. Nicht zutreffend ist hingegen die Auffassung der Vorinstanz, es liege - in Bezug auf die Frage der Margenbesteuerung - ein Endentscheid vor, der mangels Anfechtung durch den Beschwerdeführer in Rechtskraft erwachsen sei. Zwar werden Rückweisungsentscheide, die das Verfahren nicht abschliessen, wie Endentscheide behandelt, falls der unteren Instanz, an welche die Sache zurückgewiesen wird, kein Entscheidungsspielraum mehr verbleibt und die Rückweisung nur noch der rechnerischen Umsetzung des oberinstanzlich Angeordneten dient (vgl. BGE 134 II 124 E. 1.3 S. 127). Eine solche Konstellation liegt bei einem Rückweisungsentscheid, mit dem - wie hier - eine Beschwerde teilweise gutgeheissen und die Sache an die ESTV "zur Berechnung des zu gewährenden Vorsteuerabzugs im Sinne der Erwägungen" (vgl. Ziff. 1 des Urteilsdispositivs vom 12. Dezember 2007) zurückgewiesen wird, jedoch nicht vor. Daran ändert auch nichts, dass das zurückweisende Gericht bereits gewisse Rechtsfragen für die Vorinstanzen verbindlich beantwortet hat (Urteil 2C_258/2008 vom 27. März 2009 E. 3.3 mit Hinweisen).</w:t>
      </w:r>
    </w:p>
    <w:p>
      <w:r>
        <w:rPr>
          <w:b/>
        </w:rPr>
        <w:t>E. 4.3</w:t>
      </w:r>
    </w:p>
    <w:p>
      <w:r>
        <w:t>Inwiefern die Sachverhaltsfeststellungen der Vorinstanz offensichtlich unrichtig sein oder der angefochtene Entscheid auf einer Rechtsverletzung im Sinne von Art. 95 BGG beruhen sollen, legt der Beschwerdeführer jedoch nicht rechtsgenüglich dar. Mit der Folgerung der Vorinstanz, bei den streitigen Umsätzen gehe es nach der Beweislage ausschliesslich um Ankäufe von Privatpersonen, die ihrerseits nicht steuerpflichtig seien, womit keine zusätzlichen Vorsteuerabzüge gewährt werden könnten, setzt sich der Beschwerdeführer zu wenig substantiiert auseinander. Insbesondere kann er mit Hinweis auf die - erst seit dem 1. Januar 2010 in Kraft stehenden - Art. 28 Abs. 3 MWSTG (SR 641.20) bzw. Art. 64 ff. MWSTV (SR 641.201) über den fiktiven Vorsteuerabzug nichts zu seinen Gunsten ableiten. Ebenso wenig vermag der Beschwerdeführer aufzuzeigen, inwiefern die von der ESTV vorgenommenen Aufrechnungen willkürlich sein sollen (vgl. Ziff. 1.1 der Beschwerdeschrift).</w:t>
      </w:r>
    </w:p>
    <w:p>
      <w:r>
        <w:t>Mit seinen übrigen Ausführungen (Ziff. 3.2 bis 3.5 der Beschwerdeschrift) beschränkt sich der Beschwerdeführer sodann auf eine erneute - wortwörtliche - Wiedergabe seiner bereits im vorinstanzlichen Verfahren vertretenen Ausführungen und mithin auf rein appellatorische Kritik. Damit vermag er den Begründungsanforderungen jedoch nicht zu genügen (vgl. BGE 134 II 244 E. 2.3 S. 246 f.).</w:t>
      </w:r>
    </w:p>
    <w:p>
      <w:r>
        <w:rPr>
          <w:b/>
        </w:rPr>
        <w:t>E. 5</w:t>
      </w:r>
    </w:p>
    <w:p>
      <w:r>
        <w:t>Soweit der Beschwerdeführer schliesslich die Verletzung des Rechtsverzögerungsverbots ( Art. 29 BV ) geltend macht, beschränkt sich seine Rüge auf die Feststellung, die Kontrolle der ESTV habe im November 2000 stattgefunden, die anfechtbare Verfügung sei im April 2003 ergangen und über die Einsprache im Juni 2004 entschieden worden. Das (erste) Urteil der Vorinstanz sei sodann erst im Dezember 2007 gefällt worden (Ziff. 3.4 der Beschwerdeschrift). Der Beschwerdeführer legt allerdings nicht dar, inwiefern er durch die geltend gemachte überlange Verfahrensdauer überhaupt in seinen Rechten beeinträchtigt worden sein oder Nachteile erlitten haben sollte. Der ordnungsgemässen Besteuerung kann er mit dem Hinweis auf die Verfahrensdauer ohnehin nicht entgehen. Im Übrigen trifft es zwar zu, dass sowohl die ESTV wie das Bundesverwaltungsgericht relativ lange zur Erledigung des Streitfalles benötigten. Eine Rechtsverweigerung liegt indessen nicht vor, nachdem der Entscheid nunmehr gefallen ist. Die entsprechende Rüge erfüllt sodann die Anforderungen an die nötige Begründung einer Beschwerde an das Bundesgericht nach Art. 42 Abs. 2 in Verbindung mit Art. 106 Abs. 2 BGG (vgl. auch E. 2 hiervor) nicht, weshalb darauf nicht einzutreten ist.</w:t>
      </w:r>
    </w:p>
    <w:p>
      <w:r>
        <w:rPr>
          <w:b/>
        </w:rPr>
        <w:t>E. 6</w:t>
      </w:r>
    </w:p>
    <w:p>
      <w:r>
        <w:t>Nach dem Ausgeführten ist die Beschwerde in öffentlich-rechtlichen Angelegenheiten abzuweisen, soweit darauf eingetreten werden kann.</w:t>
      </w:r>
    </w:p>
    <w:p>
      <w:r>
        <w:t>Bei diesem Ausgang des Verfahrens sind die Gerichtskosten dem Beschwerdeführer aufzuerlegen ( Art. 66 BGG ). Eine Parteientschädigung ist nicht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