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2C_351/2015 vom 23. Mai 2016</w:t>
      </w:r>
    </w:p>
    <w:p>
      <w:r>
        <w:t>Bundesgericht, 2016-05-23, DE</w:t>
      </w:r>
    </w:p>
    <w:p>
      <w:r>
        <w:rPr>
          <w:b/>
        </w:rPr>
        <w:t xml:space="preserve">Quelle: </w:t>
      </w:r>
      <w:r>
        <w:t>https://mcp.opencaselaw.ch/entscheid/bger_2C_351_2015</w:t>
      </w:r>
    </w:p>
    <w:p>
      <w:r>
        <w:t>FR: TF 2C_351/2015 du 23 mai 2016</w:t>
      </w:r>
    </w:p>
    <w:p>
      <w:r>
        <w:t>IT: TF 2C_351/2015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 ist als Verfügungs-Adressatin, deren Begehren nicht geschützt wurde, dazu legitimiert ( Art. 89 Abs. 1 BGG ). Auf die Beschwerde ist einzutreten.</w:t>
      </w:r>
    </w:p>
    <w:p>
      <w:r>
        <w:rPr>
          <w:b/>
        </w:rPr>
        <w:t>E. 2</w:t>
      </w:r>
    </w:p>
    <w:p>
      <w:r>
        <w:t>Streitgegenstand und Argumentation der Parteien</w:t>
      </w:r>
    </w:p>
    <w:p>
      <w:r>
        <w:t>Es ist nicht streitig, dass die Beschwerdegegnerin der Beschwerdeführerin die zu Unrecht bezahlten Akontozahlungen aus ungerechtfertigter Bereicherung ( Art. 62 ff. OR analog) zurückerstatten muss (vgl.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28. Dezember 2010zugesprochen. Die Beschwerdeführerin beantragt einen Verzugszins, eventuell einen Bereicherungszins, bereits ab einem früheren Zeitpunkt.</w:t>
      </w:r>
    </w:p>
    <w:p>
      <w:r>
        <w:rPr>
          <w:b/>
        </w:rPr>
        <w:t>E. 2.1</w:t>
      </w:r>
    </w:p>
    <w:p>
      <w:r>
        <w:t>Die ElCom hat erwogen, die Beschwerdeführerin habe die Swissgrid mit Schreiben vom 26. November 2010 mit Ansetzung einer Zahlungsfrist bis 27. Dezember 2010 gemahnt und mit Ablauf der gesetzten Zahlungsfrist in Verzug gesetzt. Vorher liege kein Verzug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3.2 des angefochtenen Entscheides);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 berufe,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c KG erzwingen (E. 6). Die Beschwerdeerhebung gegen die Tarifverfügung sei nicht als Mahnung zu betrachten, da die Beschwerdeführerin darin keine Rückerstattung verlangt habe (E. 7). Auch die Vorbehalte anlässlich der Zahlungen könnten nicht als Verfalltagsabrede betrachtet werden (E. 8). Ein Bereicherungszins sei nicht geschuldet, da die Swissgrid nicht entsprechend bereichert sei bzw. eine Bereicherung nicht nachgewiesen sei (E. 9).</w:t>
      </w:r>
    </w:p>
    <w:p>
      <w:r>
        <w:rPr>
          <w:b/>
        </w:rPr>
        <w:t>E. 2.3</w:t>
      </w:r>
    </w:p>
    <w:p>
      <w:r>
        <w:t>Die Beschwerdeführerin bringt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 die aufschiebende Wirkung entzogen habe. Die Verweigerung der Verzinsung ab Zahlung sei auch ein Verstoss gegen Art. 7 Abs. 2 lit. c KG . Eventualiter sei ab Zahlung ein Bereicherungszins geschuldet und sei der Verzug mit der Beschwerdeerhebung gegen die Tarifverfügung eingetreten, da in Verbindung mit den bei der Zahlung angebrachten Vorbehalten klar gewesen sei, dass eine Rückforderung verlangt würde. Subeventualiter sei der Verzug mit dem Urteil des Bundesverwaltungsgerichts in Sachen Gommerkraftwerke vom 8. Juli 2010 eingetreten.</w:t>
      </w:r>
    </w:p>
    <w:p>
      <w:r>
        <w:rPr>
          <w:b/>
        </w:rPr>
        <w:t>E. 3</w:t>
      </w:r>
    </w:p>
    <w:p>
      <w:r>
        <w:t>Natur des Rechtsverhältnisses</w:t>
      </w:r>
    </w:p>
    <w:p>
      <w:r>
        <w:rPr>
          <w:b/>
        </w:rPr>
        <w:t>E. 3.1</w:t>
      </w:r>
    </w:p>
    <w:p>
      <w:r>
        <w:t>Die Beschwerdeführerin rügt die vorinstanzlichen Erwägungen (vorne E. 2.2) als bundesrechtswidrig. Sie kritisiert,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ihr und der Beschwerdegegnerin sei klarerweise öffentlich-rechtlicher Natur. Davon, dass ein Subordinationsverhältnis fehle, könne nicht die Rede sein.</w:t>
      </w:r>
    </w:p>
    <w:p>
      <w:r>
        <w:rPr>
          <w:b/>
        </w:rPr>
        <w:t>E. 3.2</w:t>
      </w:r>
    </w:p>
    <w:p>
      <w:r>
        <w:t>Die streitbetroffenen Zahlungen der Beschwerdeführerin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der Beschwerdeführerin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Im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bezahlen, wenn der Schuldner im Verzug ist ( BGE 95 I 258 E. 3 S. 263; 101 Ib 252 E. 4b S. 258 f.; Urteil 2C_188/2010 vom 24. Januar 2011 E. 7.2.1, ASA 79 863; HÄFELIN/MÜLLER/UHLMANN, Allgemeines Verwaltungsrecht, 7. Aufl. 2016, Rz. 156 ff. S. 34 f.; JACQUES DUBEY/JEAN-BAPTISTE ZUFFEREY, Droit administratif général, 2014, S. 417).</w:t>
      </w:r>
    </w:p>
    <w:p>
      <w:r>
        <w:rPr>
          <w:b/>
        </w:rPr>
        <w:t>E. 4.2.2</w:t>
      </w:r>
    </w:p>
    <w:p>
      <w:r>
        <w:t>Voraussetzung für den Schuldnerverzug ist in analoger Anwendung von Art. 102 Abs. 1 OR einerseits die</w:t>
      </w:r>
    </w:p>
    <w:p>
      <w:r>
        <w:t>Fälligkeit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Im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Beurteilung Verzugszins</w:t>
      </w:r>
    </w:p>
    <w:p>
      <w:r>
        <w:rPr>
          <w:b/>
        </w:rPr>
        <w:t>E. 5.1</w:t>
      </w:r>
    </w:p>
    <w:p>
      <w:r>
        <w:t>Zu prüfen ist zunächst, ob die Beschwerdegegnerin früher als von der Vorinstanz angenommen - also vor dem 28. Dezember 2010 (vorne lit. E.)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 erachtet es als missbräuchliche Verhaltensweise im Sinne von Art. 7 Abs. 2 lit. c KG , wenn die Beschwerdegegnerin für die Auslösung der Verzinsungspflicht eine Mahnung verlange. Dies sei missbräuchlich, unabhängig davon, ob es zwischen ihr und der Beschwerdegegnerin in Bezug auf den Beginn des Zinsenlaufs eine Vereinbarung gebe. Die Beschwerdeführerin behauptet somit nicht, es bestehe zwischen ihr und der Beschwerdegegnerin eine Verfalltagsabrede. Namentlich stellt sie die vorinstanzliche Feststellung nicht in Frage, es habe auch bezüglich der Akontozahlungen keine Vereinbarung über die Verzugszinspflicht gegeben.</w:t>
      </w:r>
    </w:p>
    <w:p>
      <w:r>
        <w:rPr>
          <w:b/>
        </w:rPr>
        <w:t>E. 5.2.3</w:t>
      </w:r>
    </w:p>
    <w:p>
      <w:r>
        <w:t>Entgegen der Auffassung der Beschwerdeführerin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E. 4c S. 578 f.; 105 Ia 214 E. 5 S. 217). Erst mit der Aufhebung der Verfügung entsteht die Rückerstattungsforderung (MOOR/POLTIER, Droit administratif, Vol. II 3. Aufl. 2011, S. 170); vorher ist sie auch nicht fällig und kann daher kein Verzug eintreten (vgl. ASA 53 558 E. 4; Urteil A.75/1982 vom 9. März 1983 E. 6). Vorliegend hat die Beschwerdeführerin die Tarifverfügung angefochten, so dass sie ihr gegenüber nicht formell rechtskräftig wurde. Der Rückerstattungsanspruch war noch in der Schwebe, solange nicht feststand, dass aArt. 31b StromVV gesetzwidrig war. Wie es sich unter diesen Umständen mit der Fälligkeit der Rückerstattungsforderung verhält, kann jedoch offen bleiben, wenn sich erweist, dass vor dem von der Vorinstanz angenommenen Verzugstermin gar keine Mahnung vorliegt.</w:t>
      </w:r>
    </w:p>
    <w:p>
      <w:r>
        <w:rPr>
          <w:b/>
        </w:rPr>
        <w:t>E. 5.3.2</w:t>
      </w:r>
    </w:p>
    <w:p>
      <w:r>
        <w:t>Die Beschwerdeführerin ist der Auffassung, die Zahlung unter Vorbehalt habe den Verzug ausgelöst. In den Schreiben, in denen sie anlässlich der Zahlungen jeweils einen Vorbehalt ausdrückte, hat sie ausgeführt, sie werde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ihr eine freiwillige Bezahlung einer Nichtschuld im Sinne von Art. 63 Abs. 1 OR dereinst nicht entgegengehalten werden könne; sie werde sich ausdrücklich ein Rückforderungs- bzw. Verrechnungsrecht bezüglich allenfalls zu viel einkassierter Beträge vorbehalten.</w:t>
      </w:r>
    </w:p>
    <w:p>
      <w:r>
        <w:t>Diese Erklärungen enthalten keine Zahlungsaufforderung, und schon gar nicht eine unmissverständliche, sondern einen blossen Vorbehalt eines allfälligen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 beruft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Die Beschwerdeführerin hat die Tarifverfügung der ElCom angefochten und damit wie der Pflichtige in BGE 95 I 258 zum Ausdruck gebracht, dass sie ihre Zahlungspflicht bestreitet. Im Unterschied zu jenem Fall liegt hier die Verfügungskompetenz aber nicht bei der Rückerstattungsschuldnerin (hier: der Beschwerdegegnerin), sondern bei der ElCom (vorne E. 3).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Ib 12 E. 3 wurde eine vergleichbare Konstellation nicht als Fall des Verzugs-, sondern des Vergütungszinses betrachtet (vorne E. 4.3),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Eventualstandpunkte zum Verzugseintritt</w:t>
      </w:r>
    </w:p>
    <w:p>
      <w:r>
        <w:rPr>
          <w:b/>
        </w:rPr>
        <w:t>E. 5.4.1</w:t>
      </w:r>
    </w:p>
    <w:p>
      <w:r>
        <w:t>Die Beschwerdeführerin ist eventualiter der Auffassung, mit der Erhebung der Beschwerde gegen die Tarifverfügung 2009 (23. April 2009) sei der Verzug eingetreten. Die Vorinstanz hat demgegenüber festgestellt, dass die Beschwerdeführerin in dieser Beschwerde nur beantragt hat, die entsprechende Ziffer in der Tarifverfügung aufzuheben, nicht aber, die Beschwerdegegnerin sei zur Rückzahlung der geleisteten Akontozahlungen zu verpflichten. Dies bestreitet die Beschwerdeführerin denn auch nicht; sie ist aber der Auffassung, angesichts der gesamten Umstände sei die Anfechtung der Tarifverfügung auch als Rückerstattungsantrag zu verstehen, zumal die Beschwerdegegnerin selber in Aussicht gestellt habe, sie werde allenfalls zu viel erhobene Akontozahlungen zurückerstatten, falls sich erweisen sollte, dass aArt. 31b StromVV rechtswidrig sei.</w:t>
      </w:r>
    </w:p>
    <w:p>
      <w:r>
        <w:rPr>
          <w:b/>
        </w:rPr>
        <w:t>E. 5.4.2</w:t>
      </w:r>
    </w:p>
    <w:p>
      <w:r>
        <w:t>Gewiss trifft es zu, dass alle Beteiligten bereits im Zeitpunkt der Beschwerde gegen die Tarifverfügung davon ausgehen mussten, dass die geleisteten Akontozahlungen zurückzuerstatten sein würden, falls sich aArt. 31b StromVV als gesetzwidrig erweisen würde. Dies war jedoch im Zeitpunkt der Beschwerdeerhebung noch ungewiss. Zudem genügt nach der dargelegten Lehre und Praxis (vorne E. 4.2.2) nicht zur Inverzugsetzung, dass die Forderung bekannt und fällig ist; verlangt ist zusätzlich, dass der Gläubiger die Zahlung innert einer bestimmten Frist verlangt oder die Forderung einklagt. Vorliegend hat die Beschwerdeführerin im hier streitigen Zeitraum weder die Beschwerdegegnerin als Rückerstattungsschuldnerin zur Zahlung innert einer bestimmten Frist aufgefordert noch bei der ElCom beantragt, die Beschwerdegegnerin zur Rückerstattung zu verpflichten. Unter diesen Umständen kann die blosse Beschwerdeerhebung gegen die Tarifverfügung nicht als verzugsauslösend betrachtet werden.</w:t>
      </w:r>
    </w:p>
    <w:p>
      <w:r>
        <w:rPr>
          <w:b/>
        </w:rPr>
        <w:t>E. 5.4.3</w:t>
      </w:r>
    </w:p>
    <w:p>
      <w:r>
        <w:t>Aus dem gleichen Grund kann auch der Leitentscheid des Bundesverwaltungsgerichts vom 8. Juli 2010 (vorne lit. C) nicht als verzugsauslösend betrachtet werden. Damit (bzw. mit der Rechtskraft dieses Entscheids) stand zwar fest, dass die Tarifverfügung, auf welche sich die Akontozahlungen stützten, aufgehoben war, freilich formell vorerst bloss im Verhältnis zu der dort Beschwerde führenden Gommerkraftwerke AG. Es war in diesem Zeitpunkt damit zu rechnen, dass auch die analogen Beschwerden der Beschwerdeführerin gutgeheissen werden würden. Damit stand aber bloss fest, dass der (bisher in der Schwebe befindliche) Rückerstattungsanspruch effektiv bestand; eine Inverzugsetzung war damit nicht verbunden.</w:t>
      </w:r>
    </w:p>
    <w:p>
      <w:r>
        <w:t>Ein früheres Datum für den Beginn des Zinsenlaufes - den Verzugszins betreffend - wie es von den Vorinstanzen des Bundesgerichts festgesetzt bzw. geschützt wurde (28. Dezember 2010, vgl. vorne E. 2.1 und E. 2.2), fällt aus all diesen Gründen ausser Betracht.</w:t>
      </w:r>
    </w:p>
    <w:p>
      <w:r>
        <w:rPr>
          <w:b/>
        </w:rPr>
        <w:t>E. 6</w:t>
      </w:r>
    </w:p>
    <w:p>
      <w:r>
        <w:t>Materielle Beurteilung Vergütungszins</w:t>
      </w:r>
    </w:p>
    <w:p>
      <w:r>
        <w:rPr>
          <w:b/>
        </w:rPr>
        <w:t>E. 6.1</w:t>
      </w:r>
    </w:p>
    <w:p>
      <w:r>
        <w:t>Die Beschwerdeführerin hat bei der Zahlung einen Vorbehalt angebracht und zudem die Tarifverfügung der ElCom mit Rechtsmitteln angefochten. Die rechtsprechungsgemässen Voraussetzungen für einen Vergütungszins (vorne E. 4.3) sind insoweit teilweise gegeben.</w:t>
      </w:r>
    </w:p>
    <w:p>
      <w:r>
        <w:rPr>
          <w:b/>
        </w:rPr>
        <w:t>E. 6.2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E.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 und Beschwerdegegnerin Rechnung zu tragen: Die ElCom hatte in der Tarifverfügung vom 6. März 2009 die grundsätzliche Kostenpflicht u.a. der Beschwerdeführerin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 der ElCom verpflichtete somit die Beschwerdeführerin nicht direkt und vollstreckbar zur Zahlung der Beträge. Die Zahlungen erfolgten erst aufgrund der von der Beschwerdegegnerin gestützt auf die ElCom-Verfügung ausgestellten Akonto-Rechnungen, wobei aber nicht dargelegt ist, dass dafür eine Verzugszinspflicht bei verspäteter Zahlung bestanden hätte (vorne E. 4.2.2). Zwar erfolgten die Zahlungen der Beschwerdeführerin letztlich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aberkeine entsprechenden Gelder ein, auf denen sie Zinsen erzielen könnte. In einer solchen Situation besteht kein Anlass, extra legem einen Vergütungszins anzuerkennen. Vielmehr war es der Beschwerdeführerin zumutbar, selber klare Rückforderungsbegehren zu stellen, wenn sie einen Anspruch auf Verzugsverzinsung wahren wollte. Hat sie das nicht getan, besteht kein Anlass für die Zusprache von Vergütungszins.</w:t>
      </w:r>
    </w:p>
    <w:p>
      <w:r>
        <w:rPr>
          <w:b/>
        </w:rPr>
        <w:t>E. 7</w:t>
      </w:r>
    </w:p>
    <w:p>
      <w:r>
        <w:t>Materielle Beurteilung Bereicherungszins</w:t>
      </w:r>
    </w:p>
    <w:p>
      <w:r>
        <w:rPr>
          <w:b/>
        </w:rPr>
        <w:t>E. 7.1</w:t>
      </w:r>
    </w:p>
    <w:p>
      <w:r>
        <w:t>Die Beschwerdeführerin hat vor der Vorinstanz einen Bereicherungszins in der Höhe des WACC-Zinses ("Weighted Average Cost of Capital") geltend gemacht, eventualiter in der gerichtlich festzustellenden Höhe der Ersparnisbereicherung. Die Vorinstanz hat zunächst die Frage aufgeworfen, ob darin eine unzulässige Ausweitung des Streitgegenstands liege (da vor der ElCom nur ein Verzugszins geltend gemacht worden war), die Frage jedoch offen gelassen, da der Antrag ohnehin abzuweisen sei (E. 1.3 des angefochtenen Entscheides). In der Sache hat sie zunächst offen gelassen, ob auch im Verwaltungsrecht Anspruch auf Bereicherungszins bestehe (E. 9.4.2). Die Beschwerdeführerin mache nämlich keinen solchen geltend, sondern stütze den Verzinsungsanspruch auf den stromversorgungsrechtlichen Mechanismus der Verzinsung des Nettoumlaufvermögens, was aber nicht überzeuge (E. 9.5.1 - 9.5.3). Eine Ersparnisbereicherung in der Höhe der eingesparten Finanzierungskosten sei nicht substantiiert (E. 9.6.2).</w:t>
      </w:r>
    </w:p>
    <w:p>
      <w:r>
        <w:rPr>
          <w:b/>
        </w:rPr>
        <w:t>E. 7.2</w:t>
      </w:r>
    </w:p>
    <w:p>
      <w:r>
        <w:t>Die Beschwerdeführerin rügt zunächst, das Eintreten hätte nicht offen gelassen werden können; auf den Antrag auf Bereicherungszins sei einzutreten gewesen, da damit nicht der Streitgegenstand, sondern nur zulässigerweise dessen rechtliche Begründung geändert worden sei.</w:t>
      </w:r>
    </w:p>
    <w:p>
      <w:r>
        <w:t>Dass eine Rechtsmittelinstanz die Eintretensfrage offen lässt mit der Begründung, das Begehren sei ohnehin materiell abzuweisen, kommt häufig vor und ist grundsätzlich nicht zu beanstanden ( BGE 133 V 579 nicht publ. E. 8.2). Vorliegend hat die Vorinstanz die Frage des Bereicherungszinses materiell geprüft. Es besteht kein Grund, den angefochtenen Entscheid deswegen aufzuheben, weil sie das Eintreten offen liess.</w:t>
      </w:r>
    </w:p>
    <w:p>
      <w:r>
        <w:rPr>
          <w:b/>
        </w:rPr>
        <w:t>E. 7.3</w:t>
      </w:r>
    </w:p>
    <w:p>
      <w:r>
        <w:t>Die Beschwerdeführerin rügt die vorinstanzliche Feststellung, sie habe keinen Bereicherungszins, sondern mit dem WACC nur einen rechnerischen Zins beantragt, als offensichtlich unrichtig; sie habe vielmehr eine Ersparnisbereicherung geltend gemacht und für dessen Höhe auf den WACC-Zins abgestellt, da die Akontozahlungen effektiv zum WACC-Zins hätten verzinst werden können; subsidiär habe sie geltend gemacht, der Zinssatz sei von Amtes wegen zu ermitteln, und sie habe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7.4</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(Art. 13 Abs. 3</w:t>
      </w:r>
    </w:p>
    <w:p>
      <w:r>
        <w:t>bis und Anhang 1 StromVV; BGE 138 II 465 E. 8.6.2 S. 495 f.). Es kann daher keine Vermutung geben, dass die Beschwerdegegnerin auf den von ihr vereinnahmten Akontozahlungen effektiv einen Zins in der Höhe des WACC erzielt hat.</w:t>
      </w:r>
    </w:p>
    <w:p>
      <w:r>
        <w:rPr>
          <w:b/>
        </w:rPr>
        <w:t>E. 7.5</w:t>
      </w:r>
    </w:p>
    <w:p>
      <w:r>
        <w:t>Auf den ersten Blick plausibel erscheint hingegen die Überlegung, dass die Beschwerdegegnerin dank den von der Beschwerdeführerin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der Beschwerdeführerin herauszugeben habe.</w:t>
      </w:r>
    </w:p>
    <w:p>
      <w:r>
        <w:rPr>
          <w:b/>
        </w:rPr>
        <w:t>E. 7.5.1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7.5.2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Vol. II 1984, S. 621; MOOR/ 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7.5.3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 hat anstelle der eigentlich zahlungspflichtigen Endverbraucher der Beschwerdegegnerin das nötige Kapital zur Verfügung gestellt; es liegt wohl eine Entreicherung der Beschwerdeführerin vor, aber nicht eine entsprechende (Ersparnis-) Bereicherung der Beschwerdegegnerin. Die Entreicherung der Beschwerdeführerin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 trägt die Kosten des Verfahrens ( Art. 66 Abs. 1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