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2C_348/2015 vom 23. Mai 2016</w:t>
      </w:r>
    </w:p>
    <w:p>
      <w:r>
        <w:t>Bundesgericht, 2016-05-23, DE</w:t>
      </w:r>
    </w:p>
    <w:p>
      <w:r>
        <w:rPr>
          <w:b/>
        </w:rPr>
        <w:t xml:space="preserve">Quelle: </w:t>
      </w:r>
      <w:r>
        <w:t>https://mcp.opencaselaw.ch/entscheid/bger_2C_348_2015</w:t>
      </w:r>
    </w:p>
    <w:p>
      <w:r>
        <w:t>FR: TF 2C_348/2015 du 23 mai 2016</w:t>
      </w:r>
    </w:p>
    <w:p>
      <w:r>
        <w:t>IT: TF 2C_348/2015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Beschwerdeführerinnen sind als Verfügungs-Adressatinnen, deren Begehren nicht geschützt wurde, dazu legitimiert ( Art. 89 Abs. 1 BGG ). Auf die Beschwerde ist einzutreten.</w:t>
      </w:r>
    </w:p>
    <w:p>
      <w:r>
        <w:rPr>
          <w:b/>
        </w:rPr>
        <w:t>E. 2</w:t>
      </w:r>
    </w:p>
    <w:p>
      <w:r>
        <w:t>Streitgegenstand und Argumentation der Parteien</w:t>
      </w:r>
    </w:p>
    <w:p>
      <w:r>
        <w:t>Es ist nicht streitig, dass die Beschwerdegegnerin den Beschwerdeführerinnen die zu Unrecht bezahlten Akontozahlungen aus ungerechtfertigter Bereicherung ( Art. 62 ff. OR analog) zurückerstatten muss (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10. Februar 2011 zugesprochen. Die Beschwerdeführerinnen beantragen einen Verzugszins, eventuell einen Bereicherungszins von 4,55 %, bereits ab einem früheren Zeitpunkt.</w:t>
      </w:r>
    </w:p>
    <w:p>
      <w:r>
        <w:rPr>
          <w:b/>
        </w:rPr>
        <w:t>E. 2.1</w:t>
      </w:r>
    </w:p>
    <w:p>
      <w:r>
        <w:t>Die ElCom hat erwogen, die Swissgrid habe mit Schreiben vom 9. Februar 2011 an die Beschwerdeführerinnen die Rückerstattung definitiv verweigert; damit sei in analoger Anwendung von Art. 108 Ziff. 1 OR auch ohne Mahnung ( Art. 102 OR ) der Schuldnerverzug eingetreten und ab dem Folgetag Zins geschuldet. Vorher liege kein Verzug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4.2 des angefochtenen Entscheides); allerdings habe die Beschwerdegegnerin keine Verfügungskompetenz, sondern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4.3). Unabhängig von der Qualifikation der Rückerstattungsforderung richte sich der Verzugseintritt direkt oder analog nach Art. 102 OR (E. 5). Eine Verfalltagsabrede ( Art. 102 Abs. 2 OR ) bestehe nicht; namentlich seien die Allgemeinen Geschäftsbedingungen der Swissgrid und die darin geregelten Verfalltage auf die vorliegenden Rückerstattungsforderungen nicht anwendbar (E. 6). Der Standpunkt der Beschwerdegegnerin sei auch nicht missbräuchlich im Sinne von Art. 7 Abs. 1 KG (SR 251) und verletze ebenso wenig den Grundsatz von Treu und Glauben (E. 7). Die steuerrechtlichen Regeln ( Art. 162 Abs. 3, Art. 164, Art. 168 Abs. 2 DBG [SR 642.21] bzw. Art. 3 und 5 der Verordnung vom 10. Dezember 1992 über Fälligkeit und Verzinsung der direkten Bundessteuer vom 10. Dezember 1992 [FVV, SR 642.124]) seien nicht anwendbar (E. 8). Der Bundesgerichtsentscheid 95 I 258, auf den sich die Beschwerdeführerinnen beriefen, sei in der Folge nicht bestätigt worden; zudem sei das Verhältnis nicht vergleichbar, da die Beschwerdegegnerin nicht verfügungsberechtigt sei; die Zahlung unter Vorbehalt könne daher nicht als Mahnung betrachtet werden (E. 9). Die Schreiben, mit denen die Beschwerdeführerinnen erklärt hätten, die Zahlung nur unter Vorbehalt zu leisten, könnten auch nicht als Verfalltagsabrede betrachtet werden (E. 10). Die späteren Schreiben der Beschwerdegegnerin vom 18. August 2010 und 11. November 2010 könnten ferner nicht als Erklärungen im Sinne von Art. 108 Abs. 1 OR betrachtet werden, die eine Mahnung überflüssig gemacht hätten (E. 11). Auch der Nichteintretensentscheid der ElCom vom 13. Januar 2011 auf das Wiedererwägungsgesuch sei nicht verzugsauslösend. Vor dem 10. Februar 2011 liege daher kein Verzug vor, der zur Bezahlung von Verzugszinsen verpflichten würde (E. 12). Ein Bereicherungszins sei nicht geschuldet, da die Swissgrid nicht entsprechend bereichert sei (E. 13).</w:t>
      </w:r>
    </w:p>
    <w:p>
      <w:r>
        <w:rPr>
          <w:b/>
        </w:rPr>
        <w:t>E. 2.3</w:t>
      </w:r>
    </w:p>
    <w:p>
      <w:r>
        <w:t>Die Beschwerdeführerinnen rügen zunächst prozessuale Aspekte (dazu hinten E. 3). In der Sache kritisieren sie, dass die Vorinstanz die Natur des Rechtsverhältnisses zwischen ihnen und der Beschwerdegegnerin offen gelassen habe; es liege ein Subordinationsverhältnis vor (hinten E. 4). Sodann sind sie der Auffassung, die privatrechtlichen Verzugsregeln dürften nicht unbesehen ins öffentliche Recht übernommen werden; insbesondere gelte eine Zahlung unter Vorbehalt im öffentlichen Recht gemäss BGE 95 I 258 als Mahnung (hinten E. 6.3). Weiter liege ein Verfalltagsgeschäft vor, da die AGB der Beschwerdegegnerin entweder per Konsens anwendbar seien (sofern das Verhältnis privatrechtlich sei) oder von der Beschwerdegegnerin einseitig zur Anwendung gebracht worden seien (wenn das Verhältnis als öffentlich-rechtlich zu betrachten wäre). Die Beschwerdegegnerin würde sodann gegen Art. 7 KG verstossen, wenn sie die Verfalltagsabrede in ihren AGB nur zu ihren Gunsten, aber nicht zu ihren Lasten anwenden würde (hinten E. 6.2). Die steuerrechtlichen Regeln über den Rückerstattungszins seien analog auch hier anwendbar (hinten E. 7). Eventualiter sei der bei der Zahlung angebrachte Vorbehalt als Verfalltagsabrede zu qualifizieren, die dazu führe, dass spätestens mit dem Urteil des Bundesverwaltungsgerichts vom 8. Juli 2010 der Verfall eingetreten sei. Sub- und subsubeventualiter habe die Beschwerdegegnerin mit ihren Schreiben vom 18. August 2010 bzw. 11. November 2010 definitiv ihre Zahlungsverweigerung erklärt und sei damit in Verzug geraten; subsubsubeventualiter sei dies jedenfalls mit dem Nichteintreten der ElCom vom 13. Januar 2011 auf das Wiedererwägungsgesuch der Fall gewesen (hinten E. 6.4). Schliesslich schulde die Beschwerdegegnerin bereits vor dem Verzugsdatum einen Bereicherungszins (hinten E. 8).</w:t>
      </w:r>
    </w:p>
    <w:p>
      <w:r>
        <w:rPr>
          <w:b/>
        </w:rPr>
        <w:t>E. 3</w:t>
      </w:r>
    </w:p>
    <w:p>
      <w:r>
        <w:t>Prozessuale Rügen</w:t>
      </w:r>
    </w:p>
    <w:p>
      <w:r>
        <w:rPr>
          <w:b/>
        </w:rPr>
        <w:t>E. 3.1</w:t>
      </w:r>
    </w:p>
    <w:p>
      <w:r>
        <w:t>Kognitionseinschränkung</w:t>
      </w:r>
    </w:p>
    <w:p>
      <w:r>
        <w:rPr>
          <w:b/>
        </w:rPr>
        <w:t>E. 3.1.1</w:t>
      </w:r>
    </w:p>
    <w:p>
      <w:r>
        <w:t>Die Beschwerdeführerinnen rügen zunächst in prozessualer Hinsicht, die Vorinstanz habe zu Unrecht ihre Kognition eingeschränkt, indem sie mit Rücksicht auf das technische Ermessen der ElCom deren Verfügung nur mit Zurückhaltung überprüft habe; die vorliegend streitigen Fragen seien jedoch nicht technischer, sondern rechtlicher Natur, so dass die Vorinstanz mit ihrer Kognitionsbeschränkung Art. 29 und 29a BV sowie Art. 6 EMRK verletzt habe.</w:t>
      </w:r>
    </w:p>
    <w:p>
      <w:r>
        <w:rPr>
          <w:b/>
        </w:rPr>
        <w:t>E. 3.1.2</w:t>
      </w:r>
    </w:p>
    <w:p>
      <w:r>
        <w:t>Die Rüge ist unbegründet: Die Vorinstanz hat zwar in ihren allgemeinen Erwägungen zur Kognition (E. 2) ausgeführt, der ElCom stehe ein gewisses technisches Ermessen zu, so dass ihr bei der Beurteilung ausgesprochener Fachfragen ein gewisser Ermessens- und Beurteilungsspielraum belassen werden könne. Indessen ist weder ersichtlich noch wird von den Beschwerdeführerinnen dargelegt ( Art. 42 Abs. 2 BGG ), dass und inwiefern die Vorinstanz bei der konkreten Beurteilung der rechtlichen Fragen diese Zurückhaltung ausgeübt hätte. Sie hat vielmehr die sich stellenden Sach- und Rechtsfragen frei überprüft.</w:t>
      </w:r>
    </w:p>
    <w:p>
      <w:r>
        <w:rPr>
          <w:b/>
        </w:rPr>
        <w:t>E. 3.2</w:t>
      </w:r>
    </w:p>
    <w:p>
      <w:r>
        <w:t>Rechtliches Gehör</w:t>
      </w:r>
    </w:p>
    <w:p>
      <w:r>
        <w:rPr>
          <w:b/>
        </w:rPr>
        <w:t>E. 3.2.1</w:t>
      </w:r>
    </w:p>
    <w:p>
      <w:r>
        <w:t>Die Beschwerdeführerinnen rügen sodann eine Verletzung des rechtlichen Gehörs durch die ElCom, indem diese zwar die Beschwerdeführerinnen zur Stellungnahme zu den Schreiben der Swissgrid vom 11. November 2010 und 9. Februar 2011 aufgefordert habe, dabei von ihr aber unerwähnt geblieben sei, dass sie auf das Datum des Schreibens als verzugszinsauslösendes Ereignis abstellen werde. Die Vorinstanz verstosse gegen Bundesrecht, indem sie erkannt habe, darin liege keine Gehörsverletzung.</w:t>
      </w:r>
    </w:p>
    <w:p>
      <w:r>
        <w:rPr>
          <w:b/>
        </w:rPr>
        <w:t>E. 3.2.2</w:t>
      </w:r>
    </w:p>
    <w:p>
      <w:r>
        <w:t>Auch diese Rüge ist unbegründet: Der Anspruch auf rechtliches Gehör gibt den Parteien das Recht, sich zum Sachverhalt zu äussern, grundsätzlich aber nicht zu der von der Behörde beabsichtigen Erledigung bzw. zur vorgesehenen rechtlichen Begründung des Entscheids ( BGE 134 V 97 E. 2.8.2 S. 107; 132 II 257 E. 4.2 S. 267 f., 485 E. 3.4 S. 495).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 BGE 131 V 9 E. 5.4.1 S. 26; 128 V 272 E. 5b/bb S. 278). Vorliegend reduzierte sich das Verfahren vor der ElCom im Wesentlichen auf die Frage des Verzugszinses, nachdem inzwischen die Rückerstattung der bezahlten Beträge erfolgt und nicht mehr streitig war. Die Beschwerdeführerinnen äusserten sich denn auch in ihren Eingaben vom 16. September 2013 und 1. November 2013 ausführlich zur Frage des Verzugszinses. Es musste ihnen klar sein, dass sich dabei u.a. die Frage stellte, welche Handlungen allenfalls als verzugsauslösend qualifiziert werden könnten.</w:t>
      </w:r>
    </w:p>
    <w:p>
      <w:r>
        <w:rPr>
          <w:b/>
        </w:rPr>
        <w:t>E. 4</w:t>
      </w:r>
    </w:p>
    <w:p>
      <w:r>
        <w:t>Natur des Rechtsverhältnisses</w:t>
      </w:r>
    </w:p>
    <w:p>
      <w:r>
        <w:rPr>
          <w:b/>
        </w:rPr>
        <w:t>E. 4.1</w:t>
      </w:r>
    </w:p>
    <w:p>
      <w:r>
        <w:t>Die Beschwerdeführerinnen rügen die vorinstanzlichen Erwägungen (vorne E. 2.2) als bundesrechtswidrig. Sie kritisieren, die Vorinstanz habe das Rechtsverhältnis nicht genau definiert. Die Beschwerdegegnerin habe entgegen der Auffassung der Vorinstanz die Zahlungen gemäss Art. 31b Abs. 2 StromVV einseitig, verbindlich und hoheitlich angeordnet; es liege jedenfalls ein Subordinationsverhältnis zwischen ihnen und der Beschwerdegegnerin vor.</w:t>
      </w:r>
    </w:p>
    <w:p>
      <w:r>
        <w:rPr>
          <w:b/>
        </w:rPr>
        <w:t>E. 4.2</w:t>
      </w:r>
    </w:p>
    <w:p>
      <w:r>
        <w:t>Die streitbetroffenen Zahlungen der Beschwerdeführerinnen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den Beschwerdeführerinnen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Im Gegenteil weist das Gesetz diese Verfügungskompetenz ausdrücklich der ElCom zu ( Art. 22 Abs. 2 lit. a und b StromVG ).</w:t>
      </w:r>
    </w:p>
    <w:p>
      <w:r>
        <w:rPr>
          <w:b/>
        </w:rPr>
        <w:t>E. 4.3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Beschwerdeführerinnen und Beschwerdegegnerin vgl. hinten E. 7.4).</w:t>
      </w:r>
    </w:p>
    <w:p>
      <w:r>
        <w:rPr>
          <w:b/>
        </w:rPr>
        <w:t>E. 5</w:t>
      </w:r>
    </w:p>
    <w:p>
      <w:r>
        <w:t>Rechtsgrundlage für Zinsen</w:t>
      </w:r>
    </w:p>
    <w:p>
      <w:r>
        <w:rPr>
          <w:b/>
        </w:rPr>
        <w:t>E. 5.1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5.2), Vergütungszins (E. 5.3) oder Bereicherungszins (E. 5.4).</w:t>
      </w:r>
    </w:p>
    <w:p>
      <w:r>
        <w:rPr>
          <w:b/>
        </w:rPr>
        <w:t>E. 5.2</w:t>
      </w:r>
    </w:p>
    <w:p>
      <w:r>
        <w:t>Verzugszins</w:t>
      </w:r>
    </w:p>
    <w:p>
      <w:r>
        <w:rPr>
          <w:b/>
        </w:rPr>
        <w:t>E. 5.2.1</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(intérêt moratoire; interesse di mora) zu bezahlen, wenn der Schuldner im Verzug ist ( BGE 95 I 258 E. 3 S. 263; 101 Ib 252 E. 4b S. 258 f.; Urteil 2C_188/2010 vom 24. Januar 2011 E. 7.2.1, ASA 79 863; HÄFELIN/MÜLLER/UHLMANN, Allgemeines Verwaltungsrecht, 7. Aufl. 2016, Rz. 156 ff. S. 34 f.; JACQUES DUBEY/JEAN-BAPTISTE ZUFFEREY, Droit administratif général, 2014, S. 417).</w:t>
      </w:r>
    </w:p>
    <w:p>
      <w:r>
        <w:rPr>
          <w:b/>
        </w:rPr>
        <w:t>E. 5.2.2</w:t>
      </w:r>
    </w:p>
    <w:p>
      <w:r>
        <w:t>Voraussetzung für den Schuldnerverzug ist in analoger Anwendung von Art. 102 Abs. 1 OR einerseits die</w:t>
      </w:r>
    </w:p>
    <w:p>
      <w:r>
        <w:t>Fälligkeit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III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5.2.3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Im öffentlichen Recht kann sich ein Verfall insbesondere daraus ergeben, dass eine Zahlungspflicht von Gesetzes wegen in einem bestimmten Zeitpunkt eintritt ( BGE 93 I 656 E. 6 S. 666; StE 2010 B 99.2 Nr. 22 E. 3.2; ASA 68 518 E. 3a).</w:t>
      </w:r>
    </w:p>
    <w:p>
      <w:r>
        <w:rPr>
          <w:b/>
        </w:rPr>
        <w:t>E. 5.3</w:t>
      </w:r>
    </w:p>
    <w:p>
      <w:r>
        <w:t>Vergütungszins</w:t>
      </w:r>
    </w:p>
    <w:p>
      <w:r>
        <w:t>Anders als der Verzugszins ist ein</w:t>
      </w:r>
    </w:p>
    <w:p>
      <w:r>
        <w:t>Vergütungszins (intérêt rémunératoire; interesse compensativo), d.h. ein Zins, der auf zu 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5.4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6</w:t>
      </w:r>
    </w:p>
    <w:p>
      <w:r>
        <w:t>Materielle Beurteilung Verzugszins</w:t>
      </w:r>
    </w:p>
    <w:p>
      <w:r>
        <w:rPr>
          <w:b/>
        </w:rPr>
        <w:t>E. 6.1</w:t>
      </w:r>
    </w:p>
    <w:p>
      <w:r>
        <w:t>Zu prüfen ist zunächst, ob die Beschwerdegegnerin früher als von der Vorinstanz angenommen - also vor dem 10. Februar 2011 (vorne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6.2), verneinendenfalls, ob bzw. wann eine Mahnung erfolgt ist (hinten E. 6.3), und schliesslich, ob bzw. in welchem Zeitpunkt auf eine solche verzichtet werden durfte (hinten E. 6.4).</w:t>
      </w:r>
    </w:p>
    <w:p>
      <w:r>
        <w:rPr>
          <w:b/>
        </w:rPr>
        <w:t>E. 6.2</w:t>
      </w:r>
    </w:p>
    <w:p>
      <w:r>
        <w:t>Verfall</w:t>
      </w:r>
    </w:p>
    <w:p>
      <w:r>
        <w:rPr>
          <w:b/>
        </w:rPr>
        <w:t>E. 6.2.1</w:t>
      </w:r>
    </w:p>
    <w:p>
      <w:r>
        <w:t>Ein</w:t>
      </w:r>
    </w:p>
    <w:p>
      <w:r>
        <w:t>gesetzlicher Zahlungstermin, dessen Nichteinhaltung analog zu Art. 102 Abs. 2 OR zum Verzug führen würde (vorne E. 5.2.3), besteht für die hier streitigen Forderungen nicht.</w:t>
      </w:r>
    </w:p>
    <w:p>
      <w:r>
        <w:rPr>
          <w:b/>
        </w:rPr>
        <w:t>E. 6.2.2</w:t>
      </w:r>
    </w:p>
    <w:p>
      <w:r>
        <w:t>Die Beschwerdeführerinnen erblicken eine Verfallsabrede in Ziff. 9 der AGB der Beschwerdegegnerin vom 3. Oktober 2008. Die Beschwerdegegnerin und die Vorinstanz sind hingegen der Auffassung, der vorliegende Sachverhalt sei nicht von diesen AGB erfasst. Die Vorinstanz hat dazu erwogen, ein tatsächlicher Konsens über die Anwendung der AGB auf den vorliegenden Fall sei nicht erstellt. Ein normativer Konsens sei mit der Rechtsnatur des Verhältnisses nicht vereinbar.</w:t>
      </w:r>
    </w:p>
    <w:p>
      <w:r>
        <w:t>Ob ein tatsächlicher Konsens vorliegt, ist Tatfrage, die vom Bundesgericht nur in den Schranken von Art. 97 und 105 BGG überprüft wird. Die von den Beschwerdeführerinnen vorgelegten Unterlagen vermögen nicht darzulegen, dass die Feststellung der Vorinstanz offensichtlich unrichtig wäre: Der Rahmenvertrag zur Lieferung von Primärregelleistung ist blanko und trägt weder Namen noch Unterschriften. Die Rechnung der Swissgrid, in welcher sie unter Bezugnahme auf die AGB einen Verzugszins verlangt, enthält nur geschwärzte Adressen und Beträge und bezieht sich auf eine Rechnung vom 27. Juni 2011, kann also nicht die hier streitigen Zahlungen betreffen. Die aktenkundigen Rechnungen der Beschwerdegegnerin an die Beschwerdeführerinnen für die streitbetroffenen Leistungen enthielten demgegenüber weder eine Bezugnahme auf die AGB noch die Androhung eines Verzugszinses bei verspäteter Zahlung. Die angerufenen AGB nennen sich "Allgemeine Bedingungen für die Verrechnung von Kosten des Übertragungsnetzes" und regeln gemäss ihrer Ziff. 1 und 3 die Rechte und Pflichten zwischen Swissgrid, den Netzbetreibern sowie den direkt angeschlossenen Endverbrauchern im Sinne von Art. 15 StromVV . Die Beschwerdeführerinnen haben die hier streitbetroffenen Zahlungen jedoch nicht in ihrer Eigenschaft als Netzbetreiber oder Endverbraucher im Sinne von Art. 15 StromVV geleistet, sondern als Kraftwerkbetreiberinnen. Gerade weil sie als solche nicht Netzbetreiber oder Endverbraucher sind, wurde aber aArt. 31b Abs. 2 StromVV als gesetzwidrig beurteilt (vgl. Urteil A-2607/2009 des Bundesverwaltungsgerichts vom 8. Juli 2010 E. 10). Diese AGB können daher auch bei normativer Betrachtung auf die hier streitbetroffenen Zahlungen keine Anwendung finden.</w:t>
      </w:r>
    </w:p>
    <w:p>
      <w:r>
        <w:rPr>
          <w:b/>
        </w:rPr>
        <w:t>E. 6.2.3</w:t>
      </w:r>
    </w:p>
    <w:p>
      <w:r>
        <w:t>Unbegründet ist auch das Argument der Beschwerdeführerinnen, die Beschwerdegegnerin würde gegen Art. 7 KG verstossen, wenn sie die AGB einseitig zur Anwendung bringe und auf der Rückerstattung keine Zinsen bezahle.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6.2.4</w:t>
      </w:r>
    </w:p>
    <w:p>
      <w:r>
        <w:t>Eventualiter erblicken die Beschwerdeführerinnen eine Verfalltagsabrede in den Schreiben, mit denen sie die Zahlung unter Vorbehalt erklärt haben, in Verbindung mit dem Urteil des Bundesverwaltungsgerichts vom 8. Juli 2010 i.S. Gommerkraftwerke AG. Indessen ist nicht ersichtlich, dass und inwiefern aus diesen Schreiben (dazu hinten E. 6.3.2) eine Abrede hervorginge, an einem bestimmten Termin zu leisten, wie dies für eine Verfallsabrede erforderlich wäre (vorne E. 5.2.3).</w:t>
      </w:r>
    </w:p>
    <w:p>
      <w:r>
        <w:rPr>
          <w:b/>
        </w:rPr>
        <w:t>E. 6.3</w:t>
      </w:r>
    </w:p>
    <w:p>
      <w:r>
        <w:t>Fälligkeit/Mahnung</w:t>
      </w:r>
    </w:p>
    <w:p>
      <w:r>
        <w:rPr>
          <w:b/>
        </w:rPr>
        <w:t>E. 6.3.1</w:t>
      </w:r>
    </w:p>
    <w:p>
      <w:r>
        <w:t>Voraussetzung für die Inverzugsetzung durch Mahnung ist, dass die Forderung fällig ist ( Art. 102 Abs. 1 OR , vgl. auch vorne E. 5.2.2).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Beschwerdeführerinnen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E. 4c S. 578 f.; 105 Ia 214 E. 5 S. 217). Erst mit der Aufhebung der Verfügung entsteht die Rückerstattungsforderung (MOOR/ POLTIER, Droit administratif, Vol. II 3. Aufl. 2011, S. 170); vorher ist sie auch nicht fällig und kann daher kein Verzug eintreten (vgl. ASA 53 558 E. 4; Urteil A.75/1982 vom 9. März 1983 E. 6). Vorliegend wurden die Tarifverfügungen gegenüber den Beschwerdeführerinnen zunächst formell rechtskräftig. Mit dem Urteil des Bundesgerichts vom 27. März 2013 wurde dann allerdings festgestellt, dass die Tarifverfügungen Zwischenverfügungen und nach wie vor anfechtbar waren und deshalb auch die Beschwerdeführerinnen Anspruch auf Rückerstattung haben (vorne Lit. D.b). Die Frage der Fälligkeit kann jedoch offenbleiben, wenn sich erweist, dass vor dem von der Vorinstanz angenommenen Verzugstermin gar keine Mahnung vorliegt.</w:t>
      </w:r>
    </w:p>
    <w:p>
      <w:r>
        <w:rPr>
          <w:b/>
        </w:rPr>
        <w:t>E. 6.3.2</w:t>
      </w:r>
    </w:p>
    <w:p>
      <w:r>
        <w:t>Die Beschwerdeführerinnen berufen sich auf ihre Schreiben an die Beschwerdegegnerin, mit denen sie anlässlich der Zahlungen jeweils einen Vorbehalt ausgedrückt haben. Sie haben in diesen Schreiben ausgeführt, sie würden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ihnen eine freiwillige Bezahlung einer Nichtschuld im Sinne von Art. 63 Abs. 1 OR dereinst nicht entgegengehalten werden könne; sie würden sich ausdrücklich ein Rückforderungs- bzw. Verrechnungsrecht bezüglich allenfalls zu viel einkassierter Beträge vorbehalten.</w:t>
      </w:r>
    </w:p>
    <w:p>
      <w:r>
        <w:t>Diese Erklärungen enthalten keine Zahlungsaufforderung, und schon gar nicht eine unmissverständliche, sondern einen blossen Vorbehalt eines allfälligen Rückforderungsrechts für den Fall, dass sich die Rechnung als unberechtigt oder überhöht erweisen sollte. Sie können angesichts der dafür geltenden Anforderungen (vorne E. 5.2.2) nicht als Mahnung gelten.</w:t>
      </w:r>
    </w:p>
    <w:p>
      <w:r>
        <w:rPr>
          <w:b/>
        </w:rPr>
        <w:t>E. 6.3.3</w:t>
      </w:r>
    </w:p>
    <w:p>
      <w:r>
        <w:t>Die Beschwerdeführerinnen berufen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 viel bezahlte Summe zurückzufordern. Das Bundesgericht erblickte darin eine gültige "Mahnung", die das Gemeinwesen in Verzug gesetzt habe.</w:t>
      </w:r>
    </w:p>
    <w:p>
      <w:r>
        <w:rPr>
          <w:b/>
        </w:rPr>
        <w:t>E. 6.3.4</w:t>
      </w:r>
    </w:p>
    <w:p>
      <w:r>
        <w:t>Von diesem Fall unterscheidet sich die vorliegende Konstellation   schon dadurch, dass die Beschwerdeführerinnen anlässlich ihrer Zahlungen die Richtigkeit nicht konkret bestritten und die zugrunde liegenden Tarifverfügungen nicht angefochten, sondern nur "allfällige" künftige Rechtsverfahren und daraus resultierende Rückforderungen vorbehalten haben. Sodann liegt die Verfügungskompetenz nicht wie in jenem Fall bei der Rückerstattungsschuldnerin (hier: der Beschwerdegegnerin), sondern bei der ElCom (vorne E. 4). Es bestand kein Subordinationsverhältnis zwischen der Beschwerdegegnerin und den Beschwerdeführerinnen.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Ib 12 E. 3 wurde eine vergleichbare Konstellation nicht als Fall des Verzugs-, sondern des Vergütungszinses betrachtet (vorne E. 5.3),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5.3; hinten E. 7).</w:t>
      </w:r>
    </w:p>
    <w:p>
      <w:r>
        <w:rPr>
          <w:b/>
        </w:rPr>
        <w:t>E. 6.4</w:t>
      </w:r>
    </w:p>
    <w:p>
      <w:r>
        <w:t>Verzicht auf Mahnung</w:t>
      </w:r>
    </w:p>
    <w:p>
      <w:r>
        <w:rPr>
          <w:b/>
        </w:rPr>
        <w:t>E. 6.4.1</w:t>
      </w:r>
    </w:p>
    <w:p>
      <w:r>
        <w:t>Die Beschwerdeführerinnen machen geltend, die Beschwerdegegnerin habe bereits mit ihren Schreiben vom 18. August 2010 bzw. 11. November 2010 die Rückerstattung definitiv verweigert, was eine Mahnung überflüssig gemacht habe. Sie hätten nach Treu und Glauben in diesen Schreiben eine definitive Leistungsverweigerung erblicken dürfen, zumal die Beschwerdegegnerin ihre Auffassung noch in einer Presseerklärung bekräftigt habe. Jedenfalls wäre eine Mahnung spätestens nach dem Nichteintretensentscheid der ElCom auf das Wiedererwägungsgesuch am 13. Januar 2011 zwecklos gewesen.</w:t>
      </w:r>
    </w:p>
    <w:p>
      <w:r>
        <w:rPr>
          <w:b/>
        </w:rPr>
        <w:t>E. 6.4.2</w:t>
      </w:r>
    </w:p>
    <w:p>
      <w:r>
        <w:t>Im Schreiben vom 18. August 2010 nahm die Beschwerdegegnerin Bezug auf das Urteil des Bundesverwaltungsgerichts vom 8. Juli 2010 und führte aus, "unter der Annahme, dass gegen das Urteil des BVGer keine Beschwerde eingereicht und dieses damit rechtskräftig wird", müsse sie die SDL-Kosten neu vollumfänglich den Endverbrauchern anlasten. Sie stellte sodann in Aussicht, die bereits bezahlten Beträge würden "den aufgrund von BVGer-Urteilen berechtigten Kraftwerken" rückvergütet werden. Zeitpunkt und Modalitäten der Rückvergütungen "an die berechtigten Kraftwerke" seien derzeit noch Gegenstand von Abklärungen. Darin kann offensichtlich keine definitive Verweigerung der Rückzahlung erblickt werden, sondern bloss ein Hinweis auf die nach dem Urteil des Bundesverwaltungsgerichts noch erforderlichen Abklärungen.</w:t>
      </w:r>
    </w:p>
    <w:p>
      <w:r>
        <w:rPr>
          <w:b/>
        </w:rPr>
        <w:t>E. 6.4.3</w:t>
      </w:r>
    </w:p>
    <w:p>
      <w:r>
        <w:t>Im Schreiben vom 11. November 2010 führte die Beschwerdegegnerin eingangs aus, inzwischen seien einige Punkte geklärt worden, es seien aber nach wie vor einige zu klärende Punkte offen. Sodann nahm sie Bezug auf das Urteil des Bundesverwaltungsgerichts und wies auf dessen Dispositiv hin, wonach die Verfügung "mit Bezug auf die Beschwerdeführerin aufgehoben" worden sei. Demgemäss bleibe die SDL-Restkostenverrechnung für die nicht beschwerdeführenden Kraftwerkbetreiber und auch für die Swissgrid verbindlich. Anspruch auf Rückerstattung hätten somit nur diejenigen Kraftwerke, welche eine Beschwerde gegen die Tarifverfügung 2009 eingereicht hätten. Die Beschwerdegegnerin brachte damit das damalige Verständnis des Urteils des Bundesverwaltungsgerichts zum Ausdruck (vgl. vorne Lit. D.a), bestritt aber nicht eine Rückforderung, falls eine solche gerichtlich angeordnet würde. Dabei ist insbesondere zu berücksichtigen, dass die Beschwerdegegnerin diesbezüglich nicht autonom handeln konnte, sondern ihrerseits ebenfalls an die Verfügungen der ElCom gebunden war und nicht in eigener Kompetenz die Rückzahlung leisten konnte, solange die Verfügung der ElCom ihr gegenüber nicht aufgehoben war.</w:t>
      </w:r>
    </w:p>
    <w:p>
      <w:r>
        <w:rPr>
          <w:b/>
        </w:rPr>
        <w:t>E. 6.4.4</w:t>
      </w:r>
    </w:p>
    <w:p>
      <w:r>
        <w:t>Was den Nichteintretensentscheid der ElCom vom 13. Januar 2011 auf das Wiedererwägungsgesuch vom 12. Oktober 2010 betrifft, so hat die Vorinstanz mit Recht erwogen, die Umstände, die auf die Nichterfüllung der Leistungspflicht schliessen lassen, müssten sich aus dem Verhalten des Schuldners ergeben (oder zumindest aus Umständen, die dem Schuldner zuzurechnen sind, vgl. Urteil 4A_474/2009 vom 25. Mai 2010 E. 4.1.1 [strafrechtliche Beschlagnahme, welche dem Schuldner die Leistung verunmöglichte]), nicht aus demjenigen von Dritten. Dieses Erfordernis ergibt sich aus dem klaren Wortlaut von Art. 108 Ziff. 1 OR . Es entspricht dem Umstand, dass Verzug immer nur im Verhältnis zwischen einem bestimmten Schuldner und einem bestimmten Gläubiger besteht, weshalb denn auch die Mahnung an den Schuldner gerichtet sein muss. Hinzu kommt, dass auch im Wiedererwägungsgesuch an die ElCom nur die Aufhebung der Tarifverfügungen beantragt worden war, aber nicht die Anordnung einer Rückerstattung. Eine solche haben die Beschwerdeführerinnen erst am 6. Juli 2011 verlangt.</w:t>
      </w:r>
    </w:p>
    <w:p>
      <w:r>
        <w:rPr>
          <w:b/>
        </w:rPr>
        <w:t>E. 6.4.5</w:t>
      </w:r>
    </w:p>
    <w:p>
      <w:r>
        <w:t>Ein früheres Datum für den Beginn des Zinsenlaufes - den Verzugszins betreffend - wie es von den Vorinstanzen des Bundesgerichts festgesetzt bzw. geschützt wurde (10. Februar 2011, vgl. vorne E. 2.1 und E. 2.2), fällt aus all diesen Gründen ausser Betracht.</w:t>
      </w:r>
    </w:p>
    <w:p>
      <w:r>
        <w:rPr>
          <w:b/>
        </w:rPr>
        <w:t>E. 7</w:t>
      </w:r>
    </w:p>
    <w:p>
      <w:r>
        <w:t>Materielle Beurteilung Vergütungszins</w:t>
      </w:r>
    </w:p>
    <w:p>
      <w:r>
        <w:rPr>
          <w:b/>
        </w:rPr>
        <w:t>E. 7.1</w:t>
      </w:r>
    </w:p>
    <w:p>
      <w:r>
        <w:t>Nach den vorne E. 5.3 dargelegten Grundsätzen fehlt es vorliegend an den Voraussetzungen für einen Vergütungszins schon deshalb, weil die Beschwerdeführerinnen bei der Zahlung zwar einen Vorbehalt anbrachten, aber nicht zugleich Rechtsmittel ergriffen, um die Forderung zu bestreiten.</w:t>
      </w:r>
    </w:p>
    <w:p>
      <w:r>
        <w:rPr>
          <w:b/>
        </w:rPr>
        <w:t>E. 7.2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6.3.3 und E. 6.3.4). In solchen Situationen erscheint es als billig, umgekehrt die Rückerstattung ebenfalls zu verzinsen (vgl. zum Ganzen vorne E. 5.3).</w:t>
      </w:r>
    </w:p>
    <w:p>
      <w:r>
        <w:rPr>
          <w:b/>
        </w:rPr>
        <w:t>E. 7.3</w:t>
      </w:r>
    </w:p>
    <w:p>
      <w:r>
        <w:t>Eine extensivere Bejahung von Vergütungszinsen ausserhalb von Verzugssituationen (vorne E. 6)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5.3).</w:t>
      </w:r>
    </w:p>
    <w:p>
      <w:r>
        <w:rPr>
          <w:b/>
        </w:rPr>
        <w:t>E. 7.4</w:t>
      </w:r>
    </w:p>
    <w:p>
      <w:r>
        <w:t>Zudem ist hier der besonderen Situation im Dreiecksverhältnis zwischen ElCom, Beschwerdeführerinnen und Beschwerdegegnerin Rechnung zu tragen: Die ElCom hatte in den Tarifverfügungen vom 6. März 2009 und 4. März 2010 die grundsätzliche Kostenpflicht u.a. der Beschwerdeführerinnen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Beschwerdeführerinnen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(vgl. vorne E. 6.2.2). Zwar erfolgte die Zahlung der Beschwerdeführerinnen letztlich aufgrund einer hoheitlichen Verfügung. Diese stammte jedoch von der ElCom, nicht von der Beschwerdegegnerin, welche die Zahlungen erhalten hat; die Beschwerdegegnerin ist nicht verfügungsbefugt (vorne E. 4.3)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den Beschwerdeführerinnen zumutbar, selber rechtzeitig Rechtsmittel zu ergreifen und klare Rückforderungsbegehren zu stellen, wenn sie einen Anspruch auf Verzugsverzinsung wahren wollten. Haben sie das nicht getan, besteht kein Anlass für die Zusprache von Vergütungszins.</w:t>
      </w:r>
    </w:p>
    <w:p>
      <w:r>
        <w:rPr>
          <w:b/>
        </w:rPr>
        <w:t>E. 8</w:t>
      </w:r>
    </w:p>
    <w:p>
      <w:r>
        <w:t>Materielle Beurteilung Bereicherungszins</w:t>
      </w:r>
    </w:p>
    <w:p>
      <w:r>
        <w:rPr>
          <w:b/>
        </w:rPr>
        <w:t>E. 8.1</w:t>
      </w:r>
    </w:p>
    <w:p>
      <w:r>
        <w:t>Die Beschwerdeführerinnen haben vor der Vorinstanz einen Bereicherungszins in der Höhe des WACC-Zinses ("Weighted Average Cost of Capital"; im hier relevanten Zeitraum 4,55 %) geltend gemacht. Die Vorinstanz hat dazu ausgeführt, die Beschwerdeführerinnen brächten nicht vor, die Beschwerdegegnerin habe auf den Akontozahlungen einen Zins bezogen; sie machten also keinen Anspruch auf Bereicherungszins geltend. Sie würden vielmehr geltend machen, dass auch Unterdeckungen der Beschwerdegegnerin mit dem WACC verzinst würden. Wenn sie auf der dank den Akontozahlungen vermiedenen Unterdeckung den WACC-Zins verlangten, so verlangten sie einen Zins, den die Beschwerdegegnerin mangels Unterdeckung gerade nicht habe geltend machen können. Ohne die Akontozahlungen hätte die Beschwerdegegnerin eine Unterdeckung gehabt und diese mit dem WACC verzinsen und in ihre künftigen Tarife einspeisen können; ihre hypothetische finanzielle Situation wäre damit nicht anders als in der jetzigen Situation.</w:t>
      </w:r>
    </w:p>
    <w:p>
      <w:r>
        <w:rPr>
          <w:b/>
        </w:rPr>
        <w:t>E. 8.2</w:t>
      </w:r>
    </w:p>
    <w:p>
      <w:r>
        <w:t>Die Beschwerdeführerinnen kritisieren die vorinstanzliche Annahme, sie hätten keinen Bereicherungszins geltend gemacht; sie hätten vielmehr vorgebracht, die Beschwerdegegnerin sei um den Zins bereichert, den sie vom Eingang der Akontozahlung bis zum Verzugseintritt erlangt habe; der WACC-Zins könne als zu vermutender üblicher Zins gelten, der unter Kaufleuten anwendbar sei.</w:t>
      </w:r>
    </w:p>
    <w:p>
      <w:r>
        <w:rPr>
          <w:b/>
        </w:rPr>
        <w:t>E. 8.3</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3bis und Anhang 1 StromVV ; BGE 138 II 465 E. 8.6.2 S. 495 f.). Es kann daher keine Vermutung geben, dass die Beschwerdegegnerin auf den von ihr vereinnahmten Akontozahlungen effektiv einen Zins in der Höhe des WACC erzielt hat.</w:t>
      </w:r>
    </w:p>
    <w:p>
      <w:r>
        <w:rPr>
          <w:b/>
        </w:rPr>
        <w:t>E. 8.4</w:t>
      </w:r>
    </w:p>
    <w:p>
      <w:r>
        <w:t>Auf den ersten Blick plausibel erscheint hingegen die Überlegung, dass die Beschwerdegegnerin dank den von den Beschwerdeführerinnen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den Beschwerdeführerinnen herauszugeben habe.</w:t>
      </w:r>
    </w:p>
    <w:p>
      <w:r>
        <w:rPr>
          <w:b/>
        </w:rPr>
        <w:t>E. 8.4.1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8.4.2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Vol.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8.4.3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Beschwerdeführerinnen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Beschwerdeführerinnen haben anstelle der eigentlich zahlungspflichtigen Endverbraucher der Beschwerdegegnerin das nötige Kapital zur Verfügung gestellt; es liegt wohl eine Entreicherung der Beschwerdeführerinnen vor, aber nicht eine entsprechende (Ersparnis-) Bereicherung der Beschwerdegegnerin. Die Entreicherung der Beschwerdeführerinnen könnte allenfalls Anlass für einen Vergütungszins geben (wofür jedoch die Voraussetzungen nicht erfüllt sind, vorne E. 7), nicht aber für einen Bereicherungszins. Ausführungen über Höhe und Nachweis des Zinssatzes erübrigen sich damit.</w:t>
      </w:r>
    </w:p>
    <w:p>
      <w:r>
        <w:rPr>
          <w:b/>
        </w:rPr>
        <w:t>E. 9</w:t>
      </w:r>
    </w:p>
    <w:p>
      <w:r>
        <w:t>Ergebnis/Kosten</w:t>
      </w:r>
    </w:p>
    <w:p>
      <w:r>
        <w:t>Die Beschwerde erweist sich damit als unbegründet. Die Beschwerdeführerinnen tragen die Kosten des Verfahrens unter solidarischer Haftung ( Art. 66 Abs. 1 und 5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