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2C_348/2013 vom 23. Juni 2014</w:t>
      </w:r>
    </w:p>
    <w:p>
      <w:r>
        <w:t>Bundesgericht, 2014-06-23, DE</w:t>
      </w:r>
    </w:p>
    <w:p>
      <w:r>
        <w:rPr>
          <w:b/>
        </w:rPr>
        <w:t xml:space="preserve">Quelle: </w:t>
      </w:r>
      <w:r>
        <w:t>https://mcp.opencaselaw.ch/entscheid/bger_2C_348_2013</w:t>
      </w:r>
    </w:p>
    <w:p>
      <w:r>
        <w:t>FR: TF 2C_348/2013 du 23 juin 2014</w:t>
      </w:r>
    </w:p>
    <w:p>
      <w:r>
        <w:t>IT: TF 2C_348/2013 del 23 giugno 2014</w:t>
      </w:r>
    </w:p>
    <w:p>
      <w:pPr>
        <w:pStyle w:val="Heading2"/>
      </w:pPr>
      <w:r>
        <w:t>Erwägungen</w:t>
      </w:r>
    </w:p>
    <w:p>
      <w:r>
        <w:rPr>
          <w:b/>
        </w:rPr>
        <w:t>E. 1.1</w:t>
      </w:r>
    </w:p>
    <w:p>
      <w:r>
        <w:t>Die Vorinstanz hat die Verfahren betreffend direkte Bundessteuer und Kantonssteuer vereinigt und ein einziges Urteil gefällt. Die Beschwerdeführer fechten dieses Urteil mit einer einzigen - vorliegend zulässigen (vgl. BGE 135 II 260 E. 1.3.2 S. 264 f.) - Beschwerdeschrift an. Das Bundesgericht eröffnet regelmässig zwei Verfahren, wenn sowohl die direkte Bundessteuer als auch die kantonalen Steuern streitig sind, um die Fälle aller Kantone einheitlich zu erfassen. Es behält sich aber vor, die beiden Verfahren zu vereinigen und nur ein Urteil zu fällen (vgl. Art. 71 BGG i.V.m. Art. 24 BZP ; BGE 131 V 461 E. 1.2 S. 465), sofern es um denselben Sachverhalt geht und sich bundes- und kantonalrechtlich dieselben Rechtsfragen stellen. Das Bundesgericht hat im vorliegenden Fall für die direkte Bundessteuer (2C_349/2013) und die Kantonssteuer (2C_348/2013) separate Dossiers angelegt. Die Verfahren sind hier allerdings zu vereinigen.</w:t>
      </w:r>
    </w:p>
    <w:p>
      <w:r>
        <w:rPr>
          <w:b/>
        </w:rPr>
        <w:t>E. 1.2</w:t>
      </w:r>
    </w:p>
    <w:p>
      <w:r>
        <w:t>Angefochten sind Entscheide des Verwaltungsgerichts des Kantons Schwyz in einer Angelegenheit des öffentlichen Rechts, die unter keinen Ausschlussgrund gemäss Art. 83 BGG fällt und daher mit Beschwerde an das Bundesgericht weitergezogen werden kann ( Art. 82 lit. a und Art. 86 Abs. 1 lit. d BGG in Verbindung mit Art. 146 DBG sowie Art. 73 StHG ). Die Beschwerdeführer sind gestützt auf Art. 89 Abs. 1 BGG zur Beschwerde in öffentlich-rechtlichen Angelegenheiten legitimiert; auf das frist- ( Art. 100 Abs. 1 BGG ) und formgerecht ( Art. 42 Abs. 1 und 2 BGG ) eingereichte Rechtsmittel ist grundsätzlich einzutreten.</w:t>
      </w:r>
    </w:p>
    <w:p>
      <w:r>
        <w:t>II. DBG</w:t>
      </w:r>
    </w:p>
    <w:p>
      <w:r>
        <w:rPr>
          <w:b/>
        </w:rPr>
        <w:t>E. 2.1</w:t>
      </w:r>
    </w:p>
    <w:p>
      <w:r>
        <w:t>Nach Art. 25 DBG werden zur Ermittlung des Reineinkommens von den gesamten steuerbaren Einkünften die Aufwendungen und allgemeinen Abzüge nach den Artikeln 26-33a abgezogen. Von den Einkünften werden die Einlagen, Prämien und Beiträge zum Erwerb von vertraglichen Ansprüchen aus anerkannten Formen der gebundenen Selbstvorsorge (Säule 3a) abgezogen (Art. 33 Abs. 1 lit. e Satz 1 DBG). Art. 33 Abs. 1 lit. e DBG übernimmt Art. 82 BVG (siehe dazu Botschaft zu Bundesgesetzen über die Harmonisierung der direkten Steuern der Kantone und Gemeinden sowie über die direkte Bundessteuer [Botschaft über die Steuerharmonisierung] vom 25. Mai 1983, BBl 1983 III 1, 94). Dabei legt der Bundesrat in Zusammenarbeit mit den Kantonen die anerkannten Vorsorgeformen und die Höhe der abzugsfähigen Beiträge fest (Art. 33 Abs. 1 lit. e Satz 2 DBG). Mit der Verordnung über die steuerliche Abzugsberechtigung für Beiträge an anerkannte Vorsorgeformen vom 13. November 1985 (BVV 3; SR 831.461.3) ist der Bundesrat seiner Pflicht nachgekommen. Nach Art. 1 Abs. 1 BVV 3 gelten als anerkannte Vorsorgeformen im Sinne von Art. 82 BVG die gebundene Vorsorgeeinrichtung bei Versicherungseinrichtungen und die gebundene Vorsorgevereinbarung mit Bankstiftungen. Art. 7 BVV 3 regelt die Abzugsberechtigung für Beiträge.</w:t>
      </w:r>
    </w:p>
    <w:p>
      <w:r>
        <w:rPr>
          <w:b/>
        </w:rPr>
        <w:t>E. 2.2</w:t>
      </w:r>
    </w:p>
    <w:p>
      <w:r>
        <w:t>Da der Beschwerdeführer - unstrittig - in der Schweiz nicht der AHV-Pflicht unterstellt war, hielt die Vorinstanz zunächst gestützt auf das nationale Recht fest, dass er nicht berechtigt gewesen sei, Einzahlungen in die Säule 3a zu tätigen, und dementsprechend verweigerte sie den Beschwerdeführern auch den steuerlichen Abzug.</w:t>
      </w:r>
    </w:p>
    <w:p>
      <w:r>
        <w:rPr>
          <w:b/>
        </w:rPr>
        <w:t>E. 2.3</w:t>
      </w:r>
    </w:p>
    <w:p>
      <w:r>
        <w:t>Art. 82 BVG bildet Grundlage für die Selbstvorsorge, d.h. für das individuelle Sparen und Versichern (vgl. BGE 115 V 337 E. 2a S. 339). Sein Abs. 1 spricht von Arbeitnehmern und von Selbständigerwerbenden. Art. 5 Abs. 1 BVG gibt Auskunft darüber, wer damit gemeint ist: "Dieses Gesetz gilt nur für Personen, die bei der eidgenössischen Alters- und Hinterlassenenversicherung (AHV) versichert sind." Art. 5 Abs. 1 BVG nimmt Bezug auf das Gesetz. Art. 82 BVG ist Teil des Gesetzes, weshalb Art. 5 BVG auch auf Art. 82 BVG anwendbar ist (vgl. auch Urteil 2C_1050/2011 vom 3. Mai 2013 E. 2.3, in: RF 68/2013 p. 737).</w:t>
      </w:r>
    </w:p>
    <w:p>
      <w:r>
        <w:t>Die Beschwerdeführer sind allerdings der Auffassung, dass Art. 5 Abs. 1 BVG nicht anwendbar sei. Art. 82 BVG finde sich im Titel über die steuerrechtliche Behandlung der Vorsorge; es gehe dabei lediglich um die steuerliche Gleichbehandlung der verschiedenen Vorsorgeformen. Ein allgemeiner und über das BVG im engeren Sinn hinausgehender Anwendungsbereich auf andere Vorsorgeformen könne daraus nicht abgeleitet werden. Regelungszweck des BVG sei die kollektive berufliche Vorsorge und nicht die individuelle Vorsorgeform wie die Säule 3a.</w:t>
      </w:r>
    </w:p>
    <w:p>
      <w:r>
        <w:t>Art. 5 Abs. 1 BVG spricht vom Gesetz und nicht von der kollektiven beruflichen Vorsorge. Zwar wäre es nicht ausgeschlossen, dass Art. 82 BVG einen anderen persönlichen Geltungsbereich definiert, als Art. 5 Abs. 1 BVG formuliert. Doch diesbezüglich bedürfte es eindeutiger Anhaltspunkte, welche nicht vorhanden sind und auch von den Beschwerdeführern nicht aufgezeigt werden. Vielmehr spricht gerade das in Art. 111 Abs. 1 Satz 2 BV nunmehr ausdrücklich verankerte Drei-Säulen-Prinzip (dazu Luzius Mader, in: St. Galler Kommentar, 2. Aufl. 2008, Art. 111 Rz. 8), welches eine ausreichende Alters-, Hinterlassenen- und Invalidenvorsorge gewährleisten soll ( Art. 111 Abs. 1 Satz 1 BV ), dafür, dass einheitliche Begriffe zu verwenden sind (vgl. Urteil 2C_1050/2011 vom 3. Mai 2013 E. 2.3; siehe auch Linda Peter-Szerenyi, Der Begriff der Vorsorge im Steuerrecht - Unter Berücksichtigung der Zweiten und Dritten Säule, 2001, S. 250 i.V.m. 100 ff. m.w.H.; Agner/Jung/Steinmann, Kommentar zum Gesetz über die direkte Bundessteuer 1995, S. 134; Peter Locher, Kommentar zum DBG, 2001, Art. 33 Rz. 64; Jacques-André Schneider, in: Schneider/Geiser/Gächter [Hrsg.], BVG und FZG, Stämpfli Handkommentar, 2010, Art. 82 BVG N 10 i.i.). Schliessl ich hängt die Höhe der Abzüge von Arbeitnehmern und Selbständigerwerbenden für Beiträge in die Säule 3a von ihren Einzahlungen in die zweite Säule ab (dazu Art. 7 Abs. 1 lit. a und b BVV 3 ), weshalb es für eine steuerliche Gleichbehandlung der Vorsorge (Zweiter Titel des sechsten Teils des BVG) naheliegend ist, dass gleiche Begriffe verwendet werden.</w:t>
      </w:r>
    </w:p>
    <w:p>
      <w:r>
        <w:t>Bei der Argumentation der Beschwerdeführer geht zudem unter, dass dem Bund in Bezug auf die Selbstvorsorge lediglich Förderungsmassnahmen namentlich bei den Steuern und beim Wohneigentum zustehen ( Art. 111 Abs. 1 und 4 BV ). Die Förderung der Selbstvorsorge erfolgt mit Art. 82 BVG (vgl. GUSTAVO SCARTAZZINI/MARC HÜRZELER, Bundessozialversicherungsrecht, 4. Aufl. 2012, S. 339) und besteht nur darin, dass die in eigener Verantwortung geäufneten Beiträge steuerlich begünstigt werden. Hierzu bedarf es keines vom BVG unabhängigen Gesetzeserlasses, um diesem Auftrag nachzukommen.</w:t>
      </w:r>
    </w:p>
    <w:p>
      <w:r>
        <w:t>III. StHG</w:t>
      </w:r>
    </w:p>
    <w:p>
      <w:r>
        <w:rPr>
          <w:b/>
        </w:rPr>
        <w:t>E. 3</w:t>
      </w:r>
    </w:p>
    <w:p>
      <w:r>
        <w:t>Art. 9 Abs. 2 lit. e StHG hat den identischen Wortlaut wie Art. 33 Abs. 1 lit. e DBG . Auch Art. 33 Abs. 1 lit. e des Steuergesetzes des Kantons Schwyz vom 9. Februar 2000 (SRSZ 172.200) übernimmt die Formulierung des Bundesrechts, verdeutlicht diese aber noch mit einem ausdrücklichen Hinweis auf Art. 82 BVG . Insofern kann ohne Weiteres auf das zum DBG Ausgeführte verwiesen werden (vgl. Urteile 2C_1050/2011 vom 3. Mai 2013 E. 3, in: RF 68/2013 p. 737; 2C_819/2009 vom 28. September 2010 E. 4; 2A.2/2006 vom 17. Mai 2006 E. 3; siehe auch MARKUS REICH, in: Zweifel/Athanas, Kommentar zum Schweizerischen Steuerrecht, Bd. I 1, Bundesgesetz über die Harmonisierung der direkten Steuern der Kantone und Gemeinden, 2. Aufl. 2002, Art. 9 N 44 ).</w:t>
      </w:r>
    </w:p>
    <w:p>
      <w:r>
        <w:t>IV. FZA</w:t>
      </w:r>
    </w:p>
    <w:p>
      <w:r>
        <w:rPr>
          <w:b/>
        </w:rPr>
        <w:t>E. 4.1</w:t>
      </w:r>
    </w:p>
    <w:p>
      <w:r>
        <w:t>Die Beschwerdeführer bringen sodann vor, dass die Nichtberücksichtigung der in Deutschland geleisteten Rentenversicherungsbeiträge für die Anerkennung der Zulässigkeit einer Säule 3a-Vorsorge in der Schweiz sowohl eine Missachtung des auch für die Schweiz massgebenden Äquivalenzprinzips als auch des Gleichbehandlungsgebots und damit eine Verletzung des FZA darstelle.</w:t>
      </w:r>
    </w:p>
    <w:p>
      <w:r>
        <w:rPr>
          <w:b/>
        </w:rPr>
        <w:t>E. 4.2</w:t>
      </w:r>
    </w:p>
    <w:p>
      <w:r>
        <w:t>Im siebten Teil des BVG regelt das BVG das Verhältnis zum europäischen Recht. Nach Art. 89a Abs. 1 BVG gelten für Arbeitnehmer und Selbständigerwerbende, für welche die Rechtsvorschriften der Schweiz oder eines oder mehrerer Mitgliedstaaten der Europäischen Gemeinschaft im Bereich der sozialen Sicherheit gelten oder galten, soweit sie Staatsangehörige der Schweiz oder eines Mitgliedstaates der Europäischen Gemeinschaft sind oder als Staatenlose oder Flüchtlinge in der Schweiz oder im Gebiet eines Mitgliedstaates der Europäischen Gemeinschaft wohnen, sowie für deren Familienangehörige in Bezug auf Leistungen im Anwendungsbereich dieses Gesetzes auch die die Koordinierung der Systeme der sozialen Sicherheit betreffenden Bestimmungen des FZA in der Fassung der Protokolle vom 26. Oktober 2004 und vom 27. Mai 2008 über die Ausdehnung des Freizügigkeitsabkommens auf die neuen EG-Mitgliedstaaten. Personen, die in der Schweiz oder im Gebiete eines Mitgliedstaates der Europäischen Gemeinschaft wohnen und für die Art. 89a Abs. 1 BVG gilt, haben, soweit das Freizügigkeitsabkommen nichts anderes vorsieht, die gleichen Rechte und Pflichten auf Grund dieses Gesetzes wie Schweizer Staatsangehörige ( Art. 89b Abs. 1 BVG ). Nach Art. 8 FZA koordinieren die Vertragsparteien die Systeme der sozialen Sicherheit nach Anh. II FZA, um u.a. die Gleichbehandlung (lit. a) und die Zusammenrechnung aller nach den verschiedenen nationalen Rechtsvorschriften berücksichtigten Versicherungszeiten für den Erwerb und die Aufrechterhaltung des Leistungsanspruchs sowie für die Berechnung der Leistungen zu gewährleisten. Nach Art. 1 Anh. II FZA kommen die Vertragsparteien überein, im Bereich der Koordinierung der Systeme der sozialen Sicherheit untereinander die in Abschnitt A dieses Anhangs genannten Rechtsakte der Europäischen Union in der durch diesen Abschnitt geänderten Fassung oder gleichwertige Vorschriften anzuwenden. Mitgliedstaat bedeutet in den aufgeführten Rechtsakten auch die Schweiz. Lit. A des Anh. II FZA führt verschiedene Rechtserlasse an, welche anzuwenden sind: U.a. die im vorliegenden Fall noch anzuwendende Verordnung (EWG) Nr. 1408/71 des Rates vom 14. Juni 1971 (V 1408/71; AS 2004 121, 2008 4219 4273, 2009 4831) zur Anwendung der Systeme der sozialen Sicherheit auf Arbeitnehmer und Selbständige sowie deren Familienangehörige, die innerhalb der Gemeinschaft zu- und abwandern, zuletzt geändert durch die Verordnung (EG) Nr. 592/2008 des Europäischen Parlaments und des Rates vom 17. Juni 2008 (ABl. L 177 vom 4.7.2008, S. 1) in der zwischen der Schweiz und den Mitgliedstaaten vor dem Inkrafttreten des vorliegenden Beschlusses geltenden Fassung, soweit darauf in den Verordnungen (EG) Nr. 883/2004 oder (EG) Nr. 987/2009 Bezug genommen wird oder Fälle aus der Vergangenheit betroffen sind (dazu statt aller Fuchs [Hrsg.], Europäisches Sozialrecht, 4. Aufl. 2005, S. 65 ff.) und Richtlinie 98/49/EG des Rates vom 29. Juni 1998 (ABl. L 209 vom 25.7.1998, S. 46) zur Wahrung ergänzender Rentenansprüche von Arbeitnehmern und Selbständigen, die innerhalb der Europäischen Gemeinschaft zu- und abwandern (vgl. Fuchs, a.a.O., S. 670 ff.).</w:t>
      </w:r>
    </w:p>
    <w:p>
      <w:r>
        <w:rPr>
          <w:b/>
        </w:rPr>
        <w:t>E. 4.3</w:t>
      </w:r>
    </w:p>
    <w:p>
      <w:r>
        <w:t>Zunächst ist zu beantworten, ob Regelungen über die Säule 3a überhaupt dem System der sozialen Sicherheit nach Art. 8 und Anh. II FZA unterliegen. Das Abkommen beschränkt sich im Bereich der Sozialen Sicherheit auf die Koordination der nationalen Systeme. Diese Aufgabe leistet vor allem die bereits erwähnte V 1408/71 ( BGE 138 V 186 E. 3.2 S. 191; vgl. Botschaft zur Genehmigung der sektoriellen Abkommen zwischen der Schweiz und der EG vom 23. Juni 1999 [Botschaft Bil. I], in: BBl 1999 6128, 6317 und 6318). Gegenstand dieser sind</w:t>
      </w:r>
    </w:p>
    <w:p>
      <w:r>
        <w:t>gesetzliche Systeme der sozialen Sicherheit , welche von</w:t>
      </w:r>
    </w:p>
    <w:p>
      <w:r>
        <w:t>ergänzenden Rentensystemen nach der RL 98/49 abzugrenzen sind (dazu umfassend Basile Cardinaux, Das Personenfreizügigkeitsabkommen und die schweizerische berufliche Vorsorge, 2008, S. 313 ff.; siehe auch Erwägungsgrund 3 RL 98/49). In Bezug auf die berufliche Vorsorge fällt lediglich deren obligatorischer Teil in den Geltungsbereich der V 1408/71 (vgl. Botschaft Bil. I, BBl 1999 6330; Roland A. Müller, Soziale Sicherheit einschliesslich Anpassung des schweizerischen Rechts, in: Thürer/Weber/Portmann/Kellerhals, Bilaterale Verträge I &amp; II. Schweiz - EU, Handbuch, 2007, S. 189 ff., 228 f.; Cardinaux, a.a.O., S. 479 Rz. 1073; Thomas Gächter/Maya Geckeler Hunziker, in: Schneider/Geiser/Gächter, a.a.O., Art. 5 BVG N 27 i.f.; Jürg Brechbühl, Die Auswirkungen des Abkommens auf den Leistungsbereich der ersten und der zweiten Säule, in: Murer [Hrsg.], Das Personenverkehrsabkommen mit der EU und seine Auswirkungen auf die soziale Sicherheit der Schweiz, 2001, S. 103 ff., 105, 113), die überobligatorische Vorsorge wird nur durch RL 98/47 erfasst, wobei das Schweizerische Recht deren Art. 4 genügt (vgl. Brechbühl, a.a.O., S. 105).</w:t>
      </w:r>
    </w:p>
    <w:p>
      <w:r>
        <w:t>Die Säule 3a gehört weder zum</w:t>
      </w:r>
    </w:p>
    <w:p>
      <w:r>
        <w:t>gesetzlichen System der sozialen Sicherheit noch stellt es</w:t>
      </w:r>
    </w:p>
    <w:p>
      <w:r>
        <w:t>ein ergänzendes Rentensystem dar, da es sich nicht um Kollektiv-, sondern um Individualvorsorge handelt (vgl. Cardinaux, a.a.O., S. 463 Rz. 1052; Werner Nussbaum, Bilaterale Verträge I - Beiträge an die berufliche Vorsorge unter dem Aspekt der Personenfreizügigkeit, in: IFF Forum für Steuerrecht 2004, S. 36 ff., 37). Die Regelungen über die Säule 3a bilden nicht Gegenstand des Systems der sozialen Sicherheit nach dem FZA (vgl. Nussbaum, a.a.O., S. 37; Müller, a.a.O., S. 227; Görg Haverkate/Stefan Huster, Europäisches Sozialrecht, 1999, S. 179; Bundesamt für Sozialversicherungen, Mitteilungen über die Berufliche Vorsorge Nr. 96 vom 18. Dezember 2006, S. 4 Ziff. 4), weshalb etwa die Leistungen der Säule 3a bei definitivem Verlassen der Schweiz auch bar ausbezahlt werden können (dazu Bundesamt für Sozialversicherungen, Mitteilungen über die Berufliche Vorsorge Nr. 96 vom 18. Dezember 2006, S. 4 Ziff. 4).</w:t>
      </w:r>
    </w:p>
    <w:p>
      <w:r>
        <w:rPr>
          <w:b/>
        </w:rPr>
        <w:t>E. 4.4</w:t>
      </w:r>
    </w:p>
    <w:p>
      <w:r>
        <w:t>Bildet somit die Säule 3a nicht Gegenstand der sozialen Sicherheit, sind die von den Beschwerdeführern vorgebrachten, sich auf Anh. II des FZA bzw. der V 1408/71 gestützten Rügen unbeachtlich.</w:t>
      </w:r>
    </w:p>
    <w:p>
      <w:r>
        <w:rPr>
          <w:b/>
        </w:rPr>
        <w:t>E. 5</w:t>
      </w:r>
    </w:p>
    <w:p>
      <w:r>
        <w:t>Die Beschwerdeführer monieren zudem eine Verletzung von Art. 9 Abs. 2 Anh. I FZA.</w:t>
      </w:r>
    </w:p>
    <w:p>
      <w:r>
        <w:rPr>
          <w:b/>
        </w:rPr>
        <w:t>E. 5.1</w:t>
      </w:r>
    </w:p>
    <w:p>
      <w:r>
        <w:t>Nach Art. 9 Abs. 1 Anh. I FZA darf ein Arbeitnehmer, der Staatsangehöriger einer Vertragspartei ist, auf Grund seiner Staatsangehörigkeit im Hoheitsgebiet der anderen Vertragspartei hinsichtlich der Beschäftigungs- und Arbeitsbedingungen, insbesondere in Hinblick auf Entlohnung, Kündigung und, falls er arbeitslos geworden ist, im Hinblick auf berufliche Wiedereingliederung oder Wiedereinstellung nicht anders behandelt werden als die inländischen Arbeitnehmer. Ein Arbeitnehmer und seine in Art. 3 des Anh. I FZA genannten Familienangehörigen geniessen dort die gleichen steuerlichen und sozialen Vergünstigungen wie die inländischen Arbeitnehmer und ihre Familienangehörigen (Abs. 2). Art. 9 Anh. I FZA stellt eine Konkretisierung des Art. 2 FZA dar (vgl. Cottier/Diebold/Kölliker/Liechti-McKee/Oesch/ Payosova/Wüger, Die Rechtsbeziehungen der Schweiz und der Europäischen Union, 2014, Rz. 492) und geht Art. 2 FZA als lex specialis vor (vgl. Christina Schnell, Arbeitnehmerfreizügigkeit in der Schweiz, 2010, S. 190; Astrid Epiney, Das Verbot der Diskriminierung aus Gründen der Staatsangehörigkeit im Personenfreizügigkeitsabkommen, SJZ 2009, S. 25 ff., 28 lk Sp.; Chantal Delli, Verbotene Beschränkungen für Arbeitnehmende?, 2009, S. 44; siehe auch Christa Tobler/Jacques Beglinger, Grundzüge des bilateralen (Wirtschafts-) Rechts, Band 1, 2013, S. 74 ff.; BGE 136 II 241 E. 12 S. 249).</w:t>
      </w:r>
    </w:p>
    <w:p>
      <w:r>
        <w:rPr>
          <w:b/>
        </w:rPr>
        <w:t>E. 5.2</w:t>
      </w:r>
    </w:p>
    <w:p>
      <w:r>
        <w:t>Bevor zu prüfen ist, ob im vorliegenden Fall - wie von den Beschwerdeführern geltend gemacht - eine Diskriminierung nach Art. 9 Abs. 2 Anh. I FZA vorliegt, ist dessen Tatbestand näher zu analysieren. Art. 9 Abs. 1 und 2 Anh. I FZA fordern, dass Arbeitnehmer mit einer ausländischen Staatsangehörigkeit wie inländische Arbeitnehmer behandelt werden. In der vorliegend zu beurteilenden Konstellation handelt es sich um einen Staatsangehörigen einer Vertragspartei, der zwar in der Schweiz Wohnsitz hat, aber nicht in der Schweiz, sondern in einem anderen Vertragsstaat arbeitet. Insofern ist entscheidend, was unter dem Begriff des Arbeitnehmers i.S. von Art. 9 Anh. I FZA verstanden wird.</w:t>
      </w:r>
    </w:p>
    <w:p>
      <w:r>
        <w:rPr>
          <w:b/>
        </w:rPr>
        <w:t>E. 5.3</w:t>
      </w:r>
    </w:p>
    <w:p>
      <w:r>
        <w:t>Ziel des Abkommens ist es, die Freizügigkeit auf der Grundlage der in der Europäischen Union geltenden Bestimmungen zu verwirklichen (Präambel), weshalb die Vertragsstaaten übereingekommen sind, in den vom Abkommen erfassten Bereichen alle erforderlichen Massnahmen zu treffen, damit in ihren Beziehungen eine möglichst parallele Rechtslage besteht ( Art. 16 Abs. 1 FZA ). Nach Art. 16 Abs. 2 FZA ist für die Anwendung des Freizügigkeitsabkommens - soweit für die Anwendung des Abkommens Begriffe des Unionsrechts herangezogen werden - die einschlägige Rechtsprechung des EuGH vor dem Zeitpunkt der Unterzeichnung (21. Juni 1999) massgebend. Dabei weicht das Bundesgericht praxisgemäss von der Auslegung abkommensrelevanter unionsrechtlicher Bestimmungen durch den EuGH nach dem Unterzeichnungsdatum nicht leichthin ab, sondern nur beim Vorliegen "triftiger" Gründe ( BGE 140 II 167 E. 4.4 f. S. 175, 112 E. 3.2 S. 117; 139 II 393 E. 4.1.1 S. 397 f.; 136 II 65 E. 3.1 S. 70 f., 5 E. 3.4 S. 12 f.; je mit zahlreichen Hinweisen).</w:t>
      </w:r>
    </w:p>
    <w:p>
      <w:r>
        <w:rPr>
          <w:b/>
        </w:rPr>
        <w:t>E. 5.4</w:t>
      </w:r>
    </w:p>
    <w:p>
      <w:r>
        <w:t>Art. 9 Abs. 1 und 2 Anh. I FZA stimmen materiell mit Art. 45 AEUV überein. Sie entsprechen wortwörtlich Art. 7 Abs. 1 und 2 der Verordnung (EWG) Nr. 1612/68 des Rates vom 15. Oktober 1968 über die Freizügigkeit der Arbeitnehmer innerhalb der Gemeinschaft (Freizügigkeitsverordnung; ABl. L 257 vom 19.10.1968, S. 2 mit Änderungen im Jahre 1976 [ABl. L 39 vom 14.2.1976, S. 2] und 1992 [ABl. L 245 vom 26.8.1992, S. 1] und einer Berichtigung [ABl. L 295 vom 7.12.1968, S. 12]; dazu BGE 136 II 241 E. 12 S. 249; Sebastian Benesch, Das Freizügigkeitsabkommen zwischen der Schweiz und der Europäischen Gemeinschaft, 2007, 130 ff.; Schnell, a.a.O., S. 193 f.), die Art. 45 AEUV sekundärrechtlich verdeutlicht (Oppermann/Classen/Nettesheim, Europarecht, 5. Aufl. 2011, S. 464 Rz. 8).</w:t>
      </w:r>
    </w:p>
    <w:p>
      <w:r>
        <w:t>Art. 45 AEUV handelt von der Freizügigkeit der Arbeitnehmer. Diese ist ebenso wie andere Grundfreiheiten eine zweckgebundene Freiheit. Sie vermittelt deshalb dem mobilitätswilligen Bürger grundsätzlich nur dann Rechte, wenn er seinen Heimatstaat aus wirtschaftlichen Gründen - nämlich zur Arbeitsaufnahme in einem anderen Mitgliedstaat - verlassen will (Schneider/Wunderlich, in: Jürgen Schwarze (Hrsg.), EU-Kommentar, 3. Aufl. 2012, AEUV Artikel 45 N 5; Urteil des EuGH vom 29. April 2004 C-482/01 &amp; 493/01,</w:t>
      </w:r>
    </w:p>
    <w:p>
      <w:r>
        <w:t>Orfanopoulos , Rz. 49). Der Aufenthalt in anderen Mitgliedstaaten zu nichtwirtschaftlichen Zwecken lässt sich grundsätzlich nicht auf Art. 45 stützen (Schneider/Wunderlich, a.a.O., Art. 45 AEUV Rz. 5 i.f.; Forsthoff, in: Grabitz/Hilf/Nettesheim, Das Recht der Europäischen Union, Kommentar I, Stand 2014, Art. 45 AEUV Rz. 81 i.f. und 81 ff.; Urteil des EuGH vom 23. April 2009 C-544/07,</w:t>
      </w:r>
    </w:p>
    <w:p>
      <w:r>
        <w:t>Rüffler , Rz. 52 i.f.). Aus diesem Grunde erfüllen Arbeitssuchende und ehemalige Arbeitnehmer die Voraussetzungen als Arbeitnehmer i.S. von Art. 45 AEUV nicht, auch wenn ihnen bestimmte Vergünstigungen eingeräumt werden (vgl. Schneider/Wunderlich, a.a.O., Artikel 45 AEUV Rz. 20; Forsthoff, a.a.O., Art. 45 AEUV Rz. 101 ff.).</w:t>
      </w:r>
    </w:p>
    <w:p>
      <w:r>
        <w:t>Diese Grundkonstellation bildet auch Basis der Freizügigkeitsverordnung. Sie zeigt sich dort in der Zweiteilung (siehe auch Urteil des EuGH vom 21. Juni 1988 C-39/68,</w:t>
      </w:r>
    </w:p>
    <w:p>
      <w:r>
        <w:t>Lair , Rz. 32 f.) zwischen Zugang (Art. 1-6) und Ausübung (Art. 7-9). Dabei werden in den Art. 7 ff. unter dem Begriff des Arbeitnehmers ausschliesslich Personen erfasst, die bereits Zugang zum Arbeitsmarkt im Aufnahmestaat gefunden haben. Personen, die zuwandern, um eine Beschäftigung zu suchen, geniessen keine Gleichbehandlung nach Art. 7 Abs. 2 Freizügigkeitsverordnung (vgl. Urteile des EuGH vom 18. Juni 1987 C- 316/85,</w:t>
      </w:r>
    </w:p>
    <w:p>
      <w:r>
        <w:t>Lebon , Rz. 25 f.; vom 23. März 2004 C-138/02,</w:t>
      </w:r>
    </w:p>
    <w:p>
      <w:r>
        <w:t>Collins, Rz. 32 f.; siehe auch Ferdinand Wollenschläger, Grundfreiheit ohne Markt, 2007, S. 66; eine leichte Öffnung findet nach dem Urteil des EuGH vom 23. März 2004 C-138/02,</w:t>
      </w:r>
    </w:p>
    <w:p>
      <w:r>
        <w:t>Collins , statt; dazu Wollenschläger, a.a.O., S. 272 ff.; Haratsch/Koenig/Pechstein, Europarecht, 9. Aufl. 2014, S. 434 (Rz. 903), 438 (Rz. 910); Winfried Brechmann, in: Calliess/Ruffert (Hrsg.), EUV - AEUV, Kommentar, 4. Aufl. 2011, Art. 45 AEUV Rz. 62; Schneider/Wunderlich, a.a.O., AEUV Artikel 45 N 75). Umso mehr gilt dies für Personen im Wohnsitzstaat, die dort keiner Erwerbstätigkeit nachgehen, sondern in einem anderen Staat.</w:t>
      </w:r>
    </w:p>
    <w:p>
      <w:r>
        <w:rPr>
          <w:b/>
        </w:rPr>
        <w:t>E. 5.5</w:t>
      </w:r>
    </w:p>
    <w:p>
      <w:r>
        <w:t>Entsprechend Art. 16 Abs. 2 FZA sind diese Ausführungen auch Basis für die Anwendung von Art. 9 Anh. I FZA. Demnach ist Art. 9 Abs. 1 und 2 Anh. I FZA nur dann anwendbar, wenn ein Staatsangehöriger einer Vertragspartei im Aufenthaltsstaat Arbeitnehmer ist. Dies bestätigt auch Art. 24 Abs. 1 Anh. I FZA, wenn dieser ausführt, dass eine Person, die die Staatsangehörigkeit einer Vertragspartei besitzt und</w:t>
      </w:r>
    </w:p>
    <w:p>
      <w:r>
        <w:t>keine Erwerbstätigkeit im Aufenthaltsstaat ausübt, einer speziellen "Freizügigkeits"regelung und eben nicht der Freizügigkeitsregelung für Arbeitnehmer (Art. 6 ff., u.a. Art. 9 Anh. I FZA) untersteht.</w:t>
      </w:r>
    </w:p>
    <w:p>
      <w:r>
        <w:t>Im vorliegenden Fall ist der Beschwerdeführer Staatsangehöriger von Deutschland, wohnt in der Schweiz, arbeitet aber in Frankreich für einen deutschen Arbeitgeber. Insofern ist er in der Schweiz nicht Arbeitnehmer i.S. von Art. 9 Anh. I FZA; er besitzt "lediglich" eine Aufenthaltsbewilligung nach Art. 24 Anh. I FZA. Art. 9 Abs. 2 Anh. I FZA bildet keine Grundlage, um zu beurteilen, ob das Verbot, die Beiträge der Säule 3a steuerrechtlich abziehen zu können, diskriminierend ist.</w:t>
      </w:r>
    </w:p>
    <w:p>
      <w:r>
        <w:t>Entsprechend Art. 106 Abs. 1 BGG , wonach das Bundesgericht das Recht von Amtes wegen anwendet, ist im Folgenden deshalb zu prüfen, ob Art. 2 FZA Grundlage (für die inhaltlich übereinstimmende EU-Regelung siehe Haratsch/Koenig/Pechstein, a.a.O., Rz. 910 i.f.; Brechmann, a.a.O., Art. 45 AEUV Rz. 5) für die Berücksichtigung eines steuerlichen Abzugs der Säule 3a bildet.</w:t>
      </w:r>
    </w:p>
    <w:p>
      <w:r>
        <w:rPr>
          <w:b/>
        </w:rPr>
        <w:t>E. 6.1</w:t>
      </w:r>
    </w:p>
    <w:p>
      <w:r>
        <w:t>Nach Art. 2 FZA dürfen die Staatsangehörigen einer Vertragspartei, die sich rechtmässig im Hoheitsgebiet einer anderen Vertragspartei aufhalten, bei der Anwendung dieses Abkommens gemäss den Anhängen I, II und III nicht aufgrund ihrer Staatsangehörigkeit diskriminiert werden. Art. 2 FZA entspricht inhaltlich dem unionsrechtlichen Diskriminierungsverbot von Art. 18 AEUV (dazu etwa Haratsch/Koenig/ Pechstein, a.a.O., S. 331 ff.; Thorsten Kingreen, Verbot der Diskriminierung wegen der Staatsangehörigkeit, in: Dirk Ehlers (Hrsg.), Europäische Grundrechte und Grundfreiheiten, 3. Aufl. 2009, S. 434 ff.; Astrid Epiney, in: Calliess/Ruffert, a.a.O., Art. 18 AEUV); für die Auslegung von Art. 2 FZA ist wiederum entsprechend Art. 16 Abs. 2 FZA auf das EU-Recht Bezug zu nehmen. Art. 2 FZA stellt ein Verbot der Ungleichbehandlung wegen der Staatsangehörigkeit und einen besonderen Gleichheitssatz dar (vgl. dazu etwa Cottier/Diebold/Kölliker/ Liechti-McKee/Oesch/Payosova/Wüger, a.a.O., Rz. 490 f.; Kingreen, a.a.O., Rz. 2). Eine Diskriminierung kann aber nur vorliegen, wenn vergleichbare Situationen ungleich behandelt werden oder unterschiedliche Situationen gleich behandelt werden (vgl. BGE 140 II 167 E. 4.1 S. 172 f.; Haratsch/Koenig/Pechstein, a.a.O., Rz. 739 ff.). Wie bereits die verschiedenen anderen Bestimmungen des Freizügigkeitsabkommens zum Grundsatz der Nichtdiskriminierung verbietet Art. 2 FZA in Übereinstimmung mit dem EU-Recht (dazu statt vieler Haratsch/Koenig/Pechstein, a.a.O., Rz. 741) sowohl die unmittelbare als auch die mittelbare Ungleichbehandlung von Personen aus Gründen der Staatsangehörigkeit (vgl. BGE 140 II 167 E. 4.1 und 4.3 S. 172 f. bzw. 174 f., 112 E. 3.2.1 S. 118; 136 II 241 E. 13.1 S. 249; 131 V 209 E. 6.2 S. 215; etwa Epiney, a.a.O., Art. 18 Rz. 12 ff.). Der sachliche Schutzbereich von Art. 2 FZA wird durch die Anwendung des FZA gemäss den Anhängen eröffnet ( BGE 136 II 241 E. 11.3 S. 247 f.). Zudem bedarf es eines Auslandbezugs (vgl. BGE 136 II 241 E. 11.2 S. 247).</w:t>
      </w:r>
    </w:p>
    <w:p>
      <w:r>
        <w:rPr>
          <w:b/>
        </w:rPr>
        <w:t>E. 6.2</w:t>
      </w:r>
    </w:p>
    <w:p>
      <w:r>
        <w:t>Der Beschwerdeführer ist Staatsangehöriger von Deutschland mit Wohnsitz in der Schweiz. Auf ihn ist das FZA anwendbar (Art. 24 Anh. I FZA). Eine offene Diskriminierung, die unmittelbar an die Staatsangehörigkeit anknüpft liegt nicht vor: Als Voraussetzung dafür, dass Einzahlungen als Einzahlungen der gebundenen Selbstvorsorge, d.h. Einzahlungen in die Säule 3a, gelten und demnach steuerlich begünstigt werden können ( Art. 7 Abs. 1 BVV 3 ), muss die einzahlungswillige Person bei der eidgenössischen AHV versichert sein (siehe oben E. 2.3). Ob eine Person dort versichert ist, hängt nicht von der Staatsangehörigkeit, sondern grundsätzlich vom Wohnort bzw. von der Erwerbstätigkeit in der Schweiz ab (vgl. Art. 1a AHVG ).</w:t>
      </w:r>
    </w:p>
    <w:p>
      <w:r>
        <w:rPr>
          <w:b/>
        </w:rPr>
        <w:t>E. 6.3</w:t>
      </w:r>
    </w:p>
    <w:p>
      <w:r>
        <w:t>Fraglich ist indes, ob es sich um eine mittelbare bzw. versteckte Diskriminierung handelt. Eine solche liegt dann vor, wenn die Anwendung eines scheinbar neutralen Merkmals überwiegend nicht schweizerische, sondern EU-Staatsangehörige betrifft (vgl. BGE 140 II 112 E. 3.2.1 S. 118; BGE 136 II 241 E. 13.1 S. 249; Urteile des EuGH vom 12. Februar 1974 152/73,</w:t>
      </w:r>
    </w:p>
    <w:p>
      <w:r>
        <w:t>Sotgiu , Rz. 11; vom 21. September 2000 C-124/99,</w:t>
      </w:r>
    </w:p>
    <w:p>
      <w:r>
        <w:t>Borawitz , Rz. 24 f.; Haratsch/Koenig/Pechstein, a.a.O., Rz. 741; siehe auch BGE 131 V 209 E. 6.3 S. 215 f.). Um festzustellen, ob die Verwendung eines bestimmten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Personen auf der andern Seite gegenüberzustellen (vgl. BGE 131 V 209 E. 6.3 S. 216; erwähntes Urteil</w:t>
      </w:r>
    </w:p>
    <w:p>
      <w:r>
        <w:t>Borawitz , Rz. 28 bis 31).</w:t>
      </w:r>
    </w:p>
    <w:p>
      <w:r>
        <w:rPr>
          <w:b/>
        </w:rPr>
        <w:t>E. 6.4</w:t>
      </w:r>
    </w:p>
    <w:p>
      <w:r>
        <w:t>Nach 33 Abs. 1 lit. e DBG können Beiträge an die gebundene Selbstvorsorge von den Einkünften abgezogen werden. Wer dazu berechtigt ist, ergibt sich - wie bereits ausgeführt (siehe oben E. 2.3) - aus Art. 82 i.V.m. Art. 5 BVG . Art. 5 BVG hält dabei fest, dass dies nur für Personen gilt, die bei der AHV versichert sind. Diesbezüglich ist festzuhalten, dass es hier nur um den Inhalt des Verweisungsobjekts - als nationales, nicht die soziale Sicherheit betreffendes Recht - geht; dieser Inhalt findet sich in Art. 1a AHVG . Sozialversicherungsrechtlich ist unstrittig, dass der Beschwerdeführer nicht der schweizerischen AHV unterstellt ist (Erwerbsortprinzip: gestützt auf die Koordination der sozialen Sicherheit: Gächter/Geckeler Hunziker, in: Schneider/Geiser/Gächter, a.a.O., Art. 5 N 12 ; Cadotsch/Cardinaux, Die Auswirkungen des Abkommens auf die Versicherungs- und Beitragspflicht in der AHV, in: Murer, a.a.O., S. 119 ff., 122; Hans-Ulrich Stauffer, Berufliche Vorsorge, 2. Aufl., 2012, Rz. 552 ff.). Strittig ist nur, ob die Nichtberechtigung zur Äufnung eines gebundenen Selbstvorsorgekontos und zum steuerlichen Abzug des jährlichen Beitrags eine mittelbare Diskriminierung darstellt.</w:t>
      </w:r>
    </w:p>
    <w:p>
      <w:r>
        <w:t>Nach dem für das Bundesgericht verbindlich festgestellten Sachverhalt arbeitet der Beschwerdeführer in Frankreich für einen Arbeitgeber in Deutschland; dort leistet er sowohl Beiträge an die Rentenversicherung als auch Beiträge an die Arbeitslosenversicherung. Nach Art. 1a Abs. 1 lit. a AHVG sind die natürlichen Personen mit Wohnsitz in der Schweiz obligatorisch versichert; dies gilt auch für Ausländer, die in der Schweiz wohnen und im Ausland arbeiten (vgl. Scartazzini/ Hürzeler, a.a.O., S. 129; Gächter/Geckeler Hunziker, a.a.O., Art. 5 N 11 ; Stauffer, a.a.O., Rz. 596). Aufgrund des Territorialitätsprinzips unterliegt der ausländische Arbeitgeber indes nicht der AHV-Beitragspflicht, sondern diese Personen müssten ihre Beitragspflicht aufgrund des massgebenden Einkommens selbst erfüllen ( Art. 6 AHVG ). Im Geltungsbereich des BVG legt Art. 1j Abs. 1 lit. a BVV 2 (SR 831.441.1) allerdings fest, dass Arbeitnehmer nicht der obligatorischen Versicherung unterstellt sind, deren Arbeitgeber gegenüber der AHV nicht beitragspflichtig ist. Wie dargelegt gilt das Nämliche auch für die gebundene Selbstvorsorge (dazu oben E. 2.3).</w:t>
      </w:r>
    </w:p>
    <w:p>
      <w:r>
        <w:t>Im Resultat ist das entscheidende Kriterium auch hier das "Erwerbsortprinzip" - wie dies im vorliegenden Fall die Koordinationsregeln für die soziale Sicherheit festlegen (Art. 13 Abs. 2 lit. a V 1408/71). Massgebend ist somit, wo die Arbeit geleistet wird - ein neutrales Kriterium, das Ausländer im Vergleich mit Schweizer Bürgern nicht benachteiligt. Sowohl Schweizer als auch Ausländer fallen bei Wohnsitz in der Schweiz mit einem ausländischen Arbeitsort mit einem ausländischen Arbeitgeber nicht in den Geltungsbereich des BVG; beide können kein selbstgebundenes Vorsorgekonto äufnen und somit die eingezahlten Beträge von den Steuern abziehen. Zudem dürften von dieser Regelung eher Schweizer benachteiligt sein, da EU-Bürger mit der durch das FZA geschaffenen Freizügigkeit vor allem ihren Arbeitsort in die Schweiz verlegen und nicht ihren Wohnort in die Schweiz verlegen und gleichzeitig ihren Arbeitsort im EU-Raum belassen. Insofern ist die schweizerische Regelung, wonach der Beschwerdeführer kein selbstgebundenes Vorsorgekonto äufnen und die jährlichen Beiträge von den Steuern abziehen kann, auch nicht indirekt diskriminierend.</w:t>
      </w:r>
    </w:p>
    <w:p>
      <w:r>
        <w:t>V. Kosten</w:t>
      </w:r>
    </w:p>
    <w:p>
      <w:r>
        <w:rPr>
          <w:b/>
        </w:rPr>
        <w:t>E. 7</w:t>
      </w:r>
    </w:p>
    <w:p>
      <w:r>
        <w:t>Nach dem Gesagten sind die Beschwe rden abzuweisen und den Beschwerdeführern die Gerichtskosten unter solidarischer Haftung aufzuerlegen ( Art. 65, 66 Abs. 1 und 5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