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345/2022 vom 4. Juli 2022</w:t>
      </w:r>
    </w:p>
    <w:p>
      <w:r>
        <w:t>Bundesgericht, 2022-07-04, DE</w:t>
      </w:r>
    </w:p>
    <w:p>
      <w:r>
        <w:rPr>
          <w:b/>
        </w:rPr>
        <w:t xml:space="preserve">Quelle: </w:t>
      </w:r>
      <w:r>
        <w:t>https://mcp.opencaselaw.ch/entscheid/bger_2C_345_2022</w:t>
      </w:r>
    </w:p>
    <w:p>
      <w:r>
        <w:t>FR: TF 2C 345/2022 du 4 juillet 2022</w:t>
      </w:r>
    </w:p>
    <w:p>
      <w:r>
        <w:t>IT: TF 2C 345/2022 del 4 luglio 2022</w:t>
      </w:r>
    </w:p>
    <w:p>
      <w:pPr>
        <w:pStyle w:val="Heading2"/>
      </w:pPr>
      <w:r>
        <w:t>Regeste</w:t>
      </w:r>
    </w:p>
    <w:p>
      <w:r>
        <w:t>Direkte Bundessteuer, Steuerperioden 2016 und 2017 | Öffentliche Finanzen &amp; Abgaberecht</w:t>
      </w:r>
    </w:p>
    <w:p>
      <w:pPr>
        <w:pStyle w:val="Heading2"/>
      </w:pPr>
      <w:r>
        <w:t>Erwägungen</w:t>
      </w:r>
    </w:p>
    <w:p>
      <w:r>
        <w:rPr>
          <w:b/>
        </w:rPr>
        <w:t>E. 1.1</w:t>
      </w:r>
    </w:p>
    <w:p>
      <w:r>
        <w:t>Die Voraussetzungen der Beschwerde in öffentlich-rechtlichen Angelegenheiten liegen vor (Art. 82 lit. a, Art. 83 e contrario, Art. 86 Abs. 1 lit. d und Abs. 2, Art. 89 Abs. 1, Art. 90 und Art. 100 Abs. 1 BGG in Verbindung mit Art. 146 DBG [SR 642.11]).</w:t>
      </w:r>
    </w:p>
    <w:p>
      <w:r>
        <w:rPr>
          <w:b/>
        </w:rPr>
        <w:t>E. 1.2</w:t>
      </w:r>
    </w:p>
    <w:p>
      <w:r>
        <w:t>Das Bundesgericht wendet das Bundesgesetzesrecht von Amtes wegen an ( Art. 106 Abs. 1 BGG ) und prüft es mit uneingeschränkter (voller) Kognition ( Art. 95 lit. a BGG ; BGE 148 V 21 E. 2; 147 II 300 E. 1). Bei aller Rechtsanwendung von Amtes wegen werden aber, unter Berücksichtigung der allgemeinen Begründungspflicht der Beschwerde ( Art. 42 Abs. 1 und 2 BGG ), nur die geltend gemachten Rügen geprüft, es sei denn, die rechtlichen Mängel lägen geradezu auf der Hand (zum Ganzen: BGE 146 IV 88 E. 1.3.2).</w:t>
      </w:r>
    </w:p>
    <w:p>
      <w:r>
        <w:rPr>
          <w:b/>
        </w:rPr>
        <w:t>E. 1.3</w:t>
      </w:r>
    </w:p>
    <w:p>
      <w:r>
        <w:t>Im Unterschied zum Bundesgesetzesrecht geht das Bundesgericht der Verletzung verfassungsmässiger Individualrechte (einschliesslich der Grundrechte) nur nach, falls und soweit eine solche Rüge in der Beschwerde überhaupt vorgebracht und ausreichend begründet worden ist (qualifizierte Rüge- und Begründungsobliegenheit gemäss Art. 106 Abs. 2 BGG ; BGE 147 I 194 E. 3.4; 147 II 44 E. 1.2; 147 V 156 E. 7.2.3).</w:t>
      </w:r>
    </w:p>
    <w:p>
      <w:r>
        <w:rPr>
          <w:b/>
        </w:rPr>
        <w:t>E. 1.4</w:t>
      </w:r>
    </w:p>
    <w:p>
      <w:r>
        <w:t>Das Bundesgericht legt seinem Urteil den Sachverhalt zugrunde, den die Vorinstanz festgestellt hat ( Art. 105 Abs. 1 BGG ; BGE 147 V 124 E. 1.1).</w:t>
      </w:r>
    </w:p>
    <w:p>
      <w:r>
        <w:rPr>
          <w:b/>
        </w:rPr>
        <w:t>E. 2.1</w:t>
      </w:r>
    </w:p>
    <w:p>
      <w:r>
        <w:t>Streitig und zu prüfen ist, ob der Umstand, dass der Kanton St. Gallen mit rechtskräftigen Einspracheentscheiden vom 14. Januar 2020 die direkte Bundessteuer veranlagt und dabei zu tieferen Steuerfaktoren gelangt ist, als der Kanton Appenzell Ausserrhoden dies in seinen rechtskräftigen Veranlagungsverfügungen vom 16. Juli 2019 tat, einen Revisionsgrund setzt.</w:t>
      </w:r>
    </w:p>
    <w:p>
      <w:r>
        <w:rPr>
          <w:b/>
        </w:rPr>
        <w:t>E. 2.2.1</w:t>
      </w:r>
    </w:p>
    <w:p>
      <w:r>
        <w:t>Die Steuerpflichtige beruft sich auf Art. 147 Abs. 1 lit. a DBG . Danach kann eine rechtskräftige Verfügung oder ein rechtskräftiger Entscheid auf Antrag oder von Amtes wegen zugunsten der steuerpflichtigen Person revidiert werden, wenn erhebliche Tatsachen oder entscheidende Beweismittel entdeckt werden. Aufgrund von Art. 147 Abs. 2 DBG gilt indes, dass die Revision ausgeschlossen ist, wenn die um Revision ersuchende Person als Revisionsgrund vorbringt, was sie bei der ihr zumutbaren Sorgfalt schon im ordentlichen Verfahren hätte geltend machen können. Darin äussert sich die Subsidiarität der Revision gegenüber den ordentlichen Rechtsmitteln (Urteile 2C_889/2019 vom 14. November 2019 E. 3.2.1; 2C_245/2019 vom 27. September 2019 E. 5.3; 2C_212/2016 vom 6. September 2016 E. 5.2).</w:t>
      </w:r>
    </w:p>
    <w:p>
      <w:r>
        <w:rPr>
          <w:b/>
        </w:rPr>
        <w:t>E. 2.2.2</w:t>
      </w:r>
    </w:p>
    <w:p>
      <w:r>
        <w:t>Art. 147 Abs. 2 DBG bzw. der gleichlautende Art. 51 Abs. 2 StHG spielen insbesondere auch dann eine Rolle, wenn es um die Revision einer Veranlagungsverfügung geht, die nach pflichtgemässem Ermessen getroffen wurde (Urteile 2C_1022/2020 vom 18. Mai 2021 E. 3.3; 2C_720/2018 vom 11. September 2018 E. 3.2.3). Wer nach Ermessen veranlagt wird, weil er nicht rechtzeitig die zur Veranlagung notwendigen Angaben gemacht und Unterlagen vorgelegt hat ( Art. 130 Abs. 2 DBG ), handelt nicht mit der nötigen Sorgfalt (Urteile 2C_754/2015 vom 14. September 2015 E. 2.3; 2A.587/2002 vom 11. März 2003 E. 1.3; 2A.55/2002 vom 30. Oktober 2002 E. 3;; Hugo Casanova/Claude-Emmanuel Dubey, in: CR-LIFD, N. 15 zu Art. 147 DBG ; Martin E. Looser, in: Martin Zweifel/Michael Beusch [Hrsg.], Kommentar DBG, 3. Aufl. 2017, N. 24 zu Art. 147 DBG ; Locher, a.a.O., N. 32 zu Art. 147 DBG ).</w:t>
      </w:r>
    </w:p>
    <w:p>
      <w:r>
        <w:rPr>
          <w:b/>
        </w:rPr>
        <w:t>E. 2.2.3</w:t>
      </w:r>
    </w:p>
    <w:p>
      <w:r>
        <w:t>Die Steuerpflichtige hat mir ihrem Verhalten den Ausschlussgrund von Art. 147 Abs. 2 DBG erfüllt: An ihrem Sitz im Kanton Appenzell Ausserrhoden, der für die Veranlagung und den Bezug der direkten Bundessteuer zuständig ist ( Art. 105 Abs. 3 DBG ; BGE 146 II 111 E. 2.3.1; Urteil 2C_514/2021 / 2C_516/2021 vom 5. August 2021 E. 2.2.2), reichte sie, wie die Vorinstanz für das Bundesgericht verbindlich festgestellt hat ( Art. 105 Abs. 1 BGG ; vorne E. 1.4), trotz Mahnung und Androhung der gesetzlichen Folgen, für die beiden streitbetroffenen Steuerperioden keine Steuererklärungen ein. Entsprechend hatte es zur Veranlagung nach pflichtgemässem Ermessen zu kommen. Auch dann noch blieb die Steuerpflichtige untätig, indem sie - wie die Vorinstanz weiter festgehalten hat - die beiden Veranlagungsverfügungen unangefochten in Rechtskraft erwachsen liess (Sachverhalt, lit. B). Mit ihrer Pflichtvergessenheit hat die Steuerpflichtige selbstverschuldet Fakten geschaffen, die sie nicht heute revisionsweise an ihre Vorstellungen zur Höhe des "richtigen" Gewinns anpassen lassen kann. Ob der Sitzkanton tatsächlich einen zu hohen Gewinn veranlagt hat, wie die Steuerpflichtige mit Blick auf die Einspracheentscheide des Kantons St. Gallen vorbringt, und ob diese nicht ohnehin zufolge örtlicher Unzuständigkeit des Kantons St. Gallen an Nichtigkeit leiden ( BGE 142 II 182 E. 2.3.3 und 2.5; Urteil 2C_946/2019 vom 14. Mai 2020 E. 2.3), bedarf daher keiner Prüfung. So oder anders ist vor dem Hintergrund von Art. 147 Abs. 2 DBG keine nähere materielle Prüfung der die Veranlagungsverfügung beeinflussenden Sachumstände anzustellen.</w:t>
      </w:r>
    </w:p>
    <w:p>
      <w:r>
        <w:rPr>
          <w:b/>
        </w:rPr>
        <w:t>E. 2.3</w:t>
      </w:r>
    </w:p>
    <w:p>
      <w:r>
        <w:t>Die Beschwerde erweist sich damit als unbegründet. Sie ist abzuweisen.</w:t>
      </w:r>
    </w:p>
    <w:p>
      <w:r>
        <w:rPr>
          <w:b/>
        </w:rPr>
        <w:t>E. 3</w:t>
      </w:r>
    </w:p>
    <w:p>
      <w:r>
        <w:t>Nach dem Unterliegerprinzip (Art. 65 in Verbindung mit Art. 66 Abs. 1 Satz 1 BGG ) sind die Kosten des bundesgerichtlichen Verfahrens der Steuerpflichtigen aufzuerlegen. Dem Kanton Appenzell Ausserrhoden, der in seinem amtlichen Wirkungskreis obsiegt, steht keine 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