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344/2016 vom 6. September 2016</w:t>
      </w:r>
    </w:p>
    <w:p>
      <w:r>
        <w:t>Bundesgericht, 2016-09-06, FR</w:t>
      </w:r>
    </w:p>
    <w:p>
      <w:r>
        <w:rPr>
          <w:b/>
        </w:rPr>
        <w:t xml:space="preserve">Quelle: </w:t>
      </w:r>
      <w:r>
        <w:t>https://mcp.opencaselaw.ch/entscheid/bger_2C_344_2016</w:t>
      </w:r>
    </w:p>
    <w:p>
      <w:r>
        <w:t>FR: TF 2C 344/2016 du 6 septembre 2016</w:t>
      </w:r>
    </w:p>
    <w:p>
      <w:r>
        <w:t>IT: TF 2C 344/2016 del 6 settembre 2016</w:t>
      </w:r>
    </w:p>
    <w:p>
      <w:pPr>
        <w:pStyle w:val="Heading2"/>
      </w:pPr>
      <w:r>
        <w:t>Regeste</w:t>
      </w:r>
    </w:p>
    <w:p>
      <w:r>
        <w:t>Interdiction d'entrée en Suisse | Droit de cité et droit des étrangers</w:t>
      </w:r>
    </w:p>
    <w:p>
      <w:pPr>
        <w:pStyle w:val="Heading2"/>
      </w:pPr>
      <w:r>
        <w:t>Erwägungen</w:t>
      </w:r>
    </w:p>
    <w:p>
      <w:r>
        <w:rPr>
          <w:b/>
        </w:rPr>
        <w:t>E. 1.1</w:t>
      </w:r>
    </w:p>
    <w:p>
      <w:r>
        <w:t>Selon l' art. 83 let . c ch. 1 LTF, le recours en matière de droit public est irrecevable contre les décisions en matière de droit des étrangers qui concernent l'entrée en Suisse, soit notamment les décisions d'interdiction d'entrée fondées, comme en l'espèce, sur l'art. 67 LEtr (RS 142.20). Cette exception ne s'applique toutefois pas dans le cas présent en vertu de l'obligation pour la Suisse prévue à l' art. 11 al. 1 et 3 ALCP (RS 0.142.112.681) d'instaurer un double degré de juridiction contre de telles décisions lorsqu'elles visent un ressortissant d'un Etat membre de l'Union européenne (cf. arrêts 2C_318/2012 du 22 février 2013 consid. 1.1, non publié in ATF 139 II 121 ; 2C_1045/2011 du 18 avril 2012 consid. 1.1 et les nombreuses références citées). Le recours, qui porte sur un arrêt du Tribunal administratif fédéral, ce qui exclut au demeurant la possibilité d'envisager l'ouverture du recours constitutionnel subsidiaire (cf. art. 113 et 114 LTF ), échappe donc à la clause d'irrecevabilité prévue à l' art. 83 let . c ch. 1 LTF, dès lors que le recourant est un ressortissant français.</w:t>
      </w:r>
    </w:p>
    <w:p>
      <w:r>
        <w:rPr>
          <w:b/>
        </w:rPr>
        <w:t>E. 1.2</w:t>
      </w:r>
    </w:p>
    <w:p>
      <w:r>
        <w:t>Pour le surplus, déposé dans le délai prescrit (cf. art. 100 al. 1 LTF ), dans une cause de droit public (cf. art. 82 let. a LTF ), le recours a été interjeté à l'encontre d'une décision finale (cf. art. 90 LTF ) rendue par le Tribunal administratif fédéral (cf. art. 86 al. 1 let. a LTF ). Il est donc recevable.</w:t>
      </w:r>
    </w:p>
    <w:p>
      <w:r>
        <w:rPr>
          <w:b/>
        </w:rPr>
        <w:t>E. 2</w:t>
      </w:r>
    </w:p>
    <w:p>
      <w:r>
        <w:t>Saisi d'un recours en matière de droit public, le Tribunal fédéral examine librement la violation du droit fédéral (cf. art. 95 let. a et 106 al. 1 LTF ). Il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 Par conséquent, en tant que le recourant avance des éléments de fait ne ressortant pas de l'arrêt attaqué, par exemple en relation avec ses problèmes de santé ou l'absence de prise en charge des soins en France, sans exposer en quoi les conditions qui viennent d'être rappelées seraient réunies, il n'en sera pas tenu compte.</w:t>
      </w:r>
    </w:p>
    <w:p>
      <w:r>
        <w:rPr>
          <w:b/>
        </w:rPr>
        <w:t>E. 3</w:t>
      </w:r>
    </w:p>
    <w:p>
      <w:r>
        <w:t>Le recourant reproche au Tribunal administratif fédéral d'avoir violé l'art. 67 LEtr, tel qu'interprété à l'aune de l' art. 5 al. 1 annexe I ALCP , en considérant qu'il représentait encore une menace pour l'ordre et la sécurité publics suffisamment grave pour lui interdire d'entrer en Suisse durant une certaine période. Il est en outre d'avis que cette mesure est disproportionnée. Le litige porte donc sur le point de savoir si l'autorité précédente a à bon droit retenu que, de par son comportement, le recourant présente toujours une menace grave pour la sécurité et l'ordre publics, justifiant le prononcé d'une interdiction d'entrée à son égard.</w:t>
      </w:r>
    </w:p>
    <w:p>
      <w:r>
        <w:rPr>
          <w:b/>
        </w:rPr>
        <w:t>E. 4.1</w:t>
      </w:r>
    </w:p>
    <w:p>
      <w:r>
        <w:t>La LEtr ne s'applique aux ressortissants des Etats membres de l'UE que lorsque l'ALCP n'en dispose pas autrement ou lorsqu'elle prévoit des dispositions plus favorables (art. 2 al. 2 LEtr). Comme l'ALCP ne réglemente pas l'interdiction d'entrée, c'est l'art. 67 LEtr qui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L'art. 67 al. 2 let. a LEtr prévoit que le Secrétariat d'Etat peut interdire l'entrée en Suisse à un étranger lorsque ce dernier a attenté à la sécurité et à l'ordre publics en Suisse ou à l'étranger ou les a mis en danger. Ces notions doivent être envisagées en lien avec l'ALCP. Pour sa part, l'art. 67 al. 3 LEtr dispose encore que l'interdiction d'entrée est prononcée pour une durée maximale de cinq ans. Elle peut être prononcée pour une plus longue durée lorsque la personne concernée constitue une menace grave pour la sécurité et l'ordre publics.</w:t>
      </w:r>
    </w:p>
    <w:p>
      <w:r>
        <w:rPr>
          <w:b/>
        </w:rPr>
        <w:t>E. 4.2</w:t>
      </w:r>
    </w:p>
    <w:p>
      <w:r>
        <w:t>Comme l'ensemble des droits conférés par l'ALCP, le droit de demeurer en Suisse, respectivement le droit d'entrer dans ce pays, ne peut être limité que par des mesures d'ordre ou de sécurité publics, au sens de l' art. 5 al. 1 annexe I ALCP (cf. ATF 139 II 121 consid. 5.3 p. 125 s.; 136 II 5 consid. 3.4 p. 12 s.). Conformément à la jurisprudence rendue en rapport avec cette disposition,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p. 125 s.; arrêt 2C_319/2015 du 10 septembre 2015 consid. 5.3).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sévère en présence d'infractions à la législation fédérale sur les stupéfiants, d'actes de violence criminelle et d'infractions contre l'intégrité sexuelle (cf. ATF 139 II 121 consid. 5.3 p. 125 s.; 137 II 297 consid. 3.3 p. 303 s.; arrêt 2C_862/2012 du 12 mars 2013 consid. 3.1), étant précisé que la commission d'infractions qui sont en étroite relation avec la toxicomanie du délinquant peut, selon les circonstances, atténuer cette position de principe ( ATF 139 II 121 consid. 5.3 p. 125 s. et les références citées).</w:t>
      </w:r>
    </w:p>
    <w:p>
      <w:r>
        <w:rPr>
          <w:b/>
        </w:rPr>
        <w:t>E. 5.1</w:t>
      </w:r>
    </w:p>
    <w:p>
      <w:r>
        <w:t>En l'occurrence, entre 1993 et 2013, le recourant a été condamné pénalement à douze reprises pour avoir principalement conduit en état d'ébriété et/ou sans permis de conduire valable. Contrairement à ce qu'il affirme, les peines prononcées en France doivent également être prises en compte dans la présente procédure, comme le prévoit expressément le texte de l'art. 67 al. 2 let. a LEtr et comme l'a d'ailleurs souhaité le législateur (cf. FF 2002 3469 p. 3568 s.). Quoi qu'il en dise, le recourant s'est rendu coupable d'infractions qui présentent objectivement une menace réelle pour la sécurité et l'ordre publics. En roulant régulièrement sous l'emprise de l'alcool, il met concrètement sa vie et celle des autres usagers de la route en danger. De plus, on ne saurait passer sous silence les contraventions à la LStup (RS 812.121), pour lesquelles le recourant a été condamné les 15 mai et 4 juin 2013, et le fait que le Tribunal fédéral se montre particulièrement rigoureux en présence de telles infractions ( ATF 139 II 121 consid. 5.3 p. 125 s.). Parmi les peines prononcées à son encontre, il convient en particulier de relever que quatre d'entre elles ont été fixées entre six mois et une année. De telles peines ne constituent pas de simples infractions à la LCR, comme semble le penser le recourant, mais bien des violations graves à cette loi. Il a ainsi notamment présenté à plusieurs reprises une alcoolémie qualifiée au sens de l' art. 91 al. 2 let. a LCR . Par exemple, le 20 février 2010, après avoir fumé un joint, le recourant a conduit son véhicule avec un taux d'alcool de 1,67 g/kg et, en raison d'une perte de maîtrise, a arraché un panneau de signalisation (accident qu'il a tenté de camoufler avant l'arrivée de la police). Le 4 mai 2010, il a conduit avec une alcoolémie de 1,70 g/kg et, suite à une nouvelle perte de maîtrise, a endommagé une barrière avant de prendre la fuite ( art. 105 al. 2 LTF ). Par son comportement, le recourant démontre qu'il est totalement imperméable aux règles de la circulation et que les sanctions subies ne peuvent le détourner de son activité délictuelle. La conduite de véhicules sans permis de conduire à réitérées reprises en atteste. En outre, le fait qu'il ait plusieurs fois perdu la maîtrise de son véhicule sous l'influence de l'alcool et soit sorti de la route (destructions de panneaux de circulation et de barrières), confirme sa dangerosité, en particulier envers les usagers les plus "faibles" qui pourraient se trouver sur le bas-côté, c'est-à-dire par exemple les piétons et les cyclistes. Le recourant ne fait montre d'aucune capacité à se conformer au système juridique, que ce soit en Suisse ou dans son pays d'origine. Certes, comme il l'explique, sa dernière condamnation remonte à un peu moins de trois ans avant que l'autorité précédente ne rende l'arrêt entrepris. Cet élément ne permet toutefois pas d'exclure un risque de récidive. Bien au contraire, rien dans les faits ressortant de l'arrêt contesté et qui lient le Tribunal fédéral (cf. art. 105 al. 1 LTF ; consid. 2 ci-dessus), ne permet de retenir que le recourant ait changé son comportement et qu'à l'avenir il s'abstiendra de conduire sous l'influence de l'alcool et sans permis de conduire valable. La régularité de ses condamnations et l'absence de changement de comportement suffisent en l'espèce pour admettre un risque de récidive.</w:t>
      </w:r>
    </w:p>
    <w:p>
      <w:r>
        <w:rPr>
          <w:b/>
        </w:rPr>
        <w:t>E. 5.2</w:t>
      </w:r>
    </w:p>
    <w:p>
      <w:r>
        <w:t>L'interdiction d'entrée en Suisse ne se justifie que si la pesée globale des intérêts à effectuer fait apparaître la mesure comme proportionnée (cf. art. 96 LEtr; ATF 139 II 121 consid. 6.5.1 p. 132; 135 II 377 consid. 4.3 p. 381 s.). A ce propos, l'autorité précédente a pris en considération tous les éléments imposés par la jurisprudence du Tribunal fédéral et de la Cour de justice de l'Union européenne pour procéder à la pesée des intérêts en rapport avec le risque de récidive concret prévu à l' art. 5 al. 1 annexe I ALCP ou avec la mesure d'interdiction d'entrée au sens de l'art. 67 LEtr et la durée de celle-ci. Elle a ainsi correctement considéré le fait que le recourant soit arrivé en Suisse à l'âge de 52 ans, l'activité délictueuse qu'il y a déployée, la nature des infractions commises, la durée des condamnations et la gravité des actes pénaux. L'autorité précédente a également pris en considération la persévérance dans la délinquance et a tenu compte de la durée et de la qualité du séjour légal en Suisse, des conséquences pour l'intéressé, divorcé et sans enfant, d'un départ de Suisse et de son intégration à l'étranger. Considérant l'ensemble de ces circonstances, le Tribunal administratif fédéral a retenu à juste titre que le recourant présentait un risque de récidive concret et, par là même, une menace actuelle pour l'ordre public tels que l'intérêt public à le maintenir éloigné de la Suisse jusqu'au 22 janvier 2020 l'emportait sur l'intérêt privé de celui-ci à pouvoir s'y rendre. Le résultat de la pesée des intérêts ainsi effectuée est correct. On ajoutera encore que la jurisprudence de la Cour européenne des droit de l'homme, citée par le recourant, ne lui est d'aucune aide, celui-ci n'invoquant aucune violation de la CEDH. De plus, en tant qu'il fait référence à son mauvais état de santé qui l'empêcherait de retourner en France, le recourant se fonde sur un état de fait qui n'a pas été retenu par le Tribunal administratif fédéral. Se contentant de présenter ses vision et appréciation des faits de manière appellatoire, il n'y a pas à examiner plus avant ce grief (cf. consid. 2 ci-dessus).</w:t>
      </w:r>
    </w:p>
    <w:p>
      <w:r>
        <w:rPr>
          <w:b/>
        </w:rPr>
        <w:t>E. 6</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