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2C_341/2016 vom 3. Oktober 2016</w:t>
      </w:r>
    </w:p>
    <w:p>
      <w:r>
        <w:t>Bundesgericht, 2016-10-03, FR</w:t>
      </w:r>
    </w:p>
    <w:p>
      <w:r>
        <w:rPr>
          <w:b/>
        </w:rPr>
        <w:t xml:space="preserve">Quelle: </w:t>
      </w:r>
      <w:r>
        <w:t>https://mcp.opencaselaw.ch/entscheid/bger_2C_341_2016</w:t>
      </w:r>
    </w:p>
    <w:p>
      <w:r>
        <w:t>FR: TF 2C_341/2016 du 3 octobre 2016</w:t>
      </w:r>
    </w:p>
    <w:p>
      <w:r>
        <w:t>IT: TF 2C_341/2016 del 3 ottobre 2016</w:t>
      </w:r>
    </w:p>
    <w:p>
      <w:pPr>
        <w:pStyle w:val="Heading2"/>
      </w:pPr>
      <w:r>
        <w:t>Erwägungen</w:t>
      </w:r>
    </w:p>
    <w:p>
      <w:r>
        <w:rPr>
          <w:b/>
        </w:rPr>
        <w:t>E. 1</w:t>
      </w:r>
    </w:p>
    <w:p>
      <w:r>
        <w:t>Le présent litige concerne une modification d'inscription relative au domicile du recourant dans le registre des habitants du canton de Genève pour la période allant du 26 octobre 2006 au 9 avril 2013 (le recourant ayant limité ses conclusions par rapport à l'arrêt entrepris qui étendait la période jusqu'au 1er juillet 2013). La cause relève donc du droit public au sens de l' art. 82 let. a LTF . La voie du recours en matière de droit public est ouverte, dès lors que la cause ne tombe pas sous le coup de l'une des exceptions prévues à l' art. 83 LTF et que le registre des habitants ne fait pas partie de la liste exhaustive prévue par l'art. 72 al. 2 let. b ch. 2 LTF qui soumet le recours à la voie du recours en matière civile (cf. CORBOZ, Commentaire de la LTF, Corboz et al. [éd.], 2e éd. 2014, n° 38 ad art. 72 LTF ). Au surplus, le recours, déposé en temps utile (art. 46 al. 1 let. a et 100 al. 1 LTF) et dans les formes requises ( art. 42 LTF ) par le destinataire de l'arrêt attaqué qui a qualité pour recourir ( art. 89 al. 1 LTF ), est dirigé contre une décision finale ( art. 90 LTF ), rendue en dernière instance cantonale par un tribunal supérieur ( art. 86 al. 1 let . d et al. 2 LTF). Il est par conséquent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 Par ailleurs, le Tribunal fédéral conduit son raisonnement en se fondant sur les faits constatés par l'autorité précédente (cf.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Dans un grief d'ordre formel qu'il convient d'examiner en premier lieu, le recourant, citant l' art. 29 al. 2 Cst. , se plaint de la violation de son droit d'être entendu. Il invoque plus particulièrement une motivation insuffisante de la décision de l'Office cantonal et son droit à consulter le dossier.</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135 I 279 consid. 2.6.1 p. 285; 133 I 201 consid. 2.2 p. 204 s.).</w:t>
      </w:r>
    </w:p>
    <w:p>
      <w:r>
        <w:rPr>
          <w:b/>
        </w:rPr>
        <w:t>E. 3.2</w:t>
      </w:r>
    </w:p>
    <w:p>
      <w:r>
        <w:t>En tant que le recourant dirige son grief de violation du droit d'être entendu directement contre la décision de l'Office cantonal, celui-ci doit d'emblée être écarté. Il ne saurait en effet se plaindre d'une telle violation dans le présent recours dirigé contre l'arrêt ultérieur de la Cour de justice, la saisine de cette dernière ayant un effet dévolutif entraînant le dessaisissement de l'instance précédente (cf. arrêt 2C_312/2011 du 26 juillet 2011 consid. 4).</w:t>
      </w:r>
    </w:p>
    <w:p>
      <w:r>
        <w:rPr>
          <w:b/>
        </w:rPr>
        <w:t>E. 3.3</w:t>
      </w:r>
    </w:p>
    <w:p>
      <w:r>
        <w:t>Le recourant estime encore que la Cour de justice n'a pas examiné le "rapport de renseignement de la police genevoise" qu'il a produit comme pièce et que cette autorité a de ce fait violé son obligation de motiver. Par ce grief, le recourant se plaint bien plus d'une appréciation arbitraire des faits par l'autorité précédente. Toutefois, sa motivation à ce propos, selon laquelle "la Cour de justice aurait dû constater la violation de l'obligation de motiver et d'examiner les griefs par l'Office et renvoyer le dossier à l'Office pour une nouvelle décision", pour autant qu'on la comprenne, ne remplit pas les conditions de motivation posées par l' art. 106 al. 2 LTF (cf. consid. 2 ci-dessus). Il convient dès lors d'écarter ce grief sans autre examen.</w:t>
      </w:r>
    </w:p>
    <w:p>
      <w:r>
        <w:rPr>
          <w:b/>
        </w:rPr>
        <w:t>E. 3.4</w:t>
      </w:r>
    </w:p>
    <w:p>
      <w:r>
        <w:t>Le recourant se plaint finalement de ce que la Cour de justice a confirmé la décision de l'Office cantonal quant au fait qu'il n'aurait pas pu consulter le dossier. Or, il ressort des faits retenus par l'autorité précédente et qui lient le Tribunal fédéral (cf. art. 105 al. 1 LTF ) que le recourant n'a jamais sollicité la consultation du dossier auprès de l'Office cantonal. Son mandataire a certes proposé d'envoyer un membre de son étude pour procéder à la recherche de ses courriers; il n'a cependant jamais été question de demande formelle d'accès au dossier. Les faits présentés de manière appellatoire à ce propos par le recourant ne sauraient être retenus par le Tribunal fédéral (cf. consid. 2 ci-dessus). Il est dès lors exclu d'admettre une violation du droit d'être entendu dans ces conditions. On relèvera en outre que la Cour de justice a mis à disposition du recourant le dossier de la cause auprès de son greffe. Par conséquent, même s'il fallait reconnaître une violation du droit d'être entendu, celle-ci devrait de toute façon être considérée comme étant réparée.</w:t>
      </w:r>
    </w:p>
    <w:p>
      <w:r>
        <w:rPr>
          <w:b/>
        </w:rPr>
        <w:t>E. 3.5</w:t>
      </w:r>
    </w:p>
    <w:p>
      <w:r>
        <w:t>Sur le vu de ce qui précède, le grief de violation du droit d'être entendu, tant en ce qu'il concerne la motivation de la décision initiale, respectivement de l'arrêt contesté que la consultation du dossier de la cause, doit être écarté.</w:t>
      </w:r>
    </w:p>
    <w:p>
      <w:r>
        <w:rPr>
          <w:b/>
        </w:rPr>
        <w:t>E. 4</w:t>
      </w:r>
    </w:p>
    <w:p>
      <w:r>
        <w:t>Le recourant se plaint finalement de violation du droit fédéral et plus particulièrement de la violation des art. 5 et 11 de la loi du 23 juin 2006 sur l'harmonisation des registres des habitants et d'autres registres officiels de personnes (LHR; RS 431.02), ainsi que de l' art. 23 CC .</w:t>
      </w:r>
    </w:p>
    <w:p>
      <w:r>
        <w:rPr>
          <w:b/>
        </w:rPr>
        <w:t>E. 4.1</w:t>
      </w:r>
    </w:p>
    <w:p>
      <w:r>
        <w:t>Depuis l'entrée en vigueur de la LHR et de l'ordonnance fédérale du 21 novembre 2007 sur l'harmonisation de registres (OHR; RS 431.021), les registres communaux des habitants ne sont plus seulement régis par le droit cantonal et communal (cf. arrêt 2C_173/2012 du 23 août 2012 consid. 3.1). L' art. 11 LHR prévoit dorénavant que les cantons édictent les dispositions nécessaires, afin que toute personne physique qui déménage s'annonce au service du contrôle des habitants dans les quatorze jours qui suivent l'événement (let. a); toute personne tenue de s'annoncer communique, de façon conforme à la vérité, les données énumérées à l' art. 6 LHR ainsi que, le cas échéant, les documents nécessaires (let. b). Les registres doivent contenir des données actuelles, exactes et complètes par rapport à l'ensemble des personnes visées ( art. 5 LHR ).</w:t>
      </w:r>
    </w:p>
    <w:p>
      <w:r>
        <w:t>Dans le canton de Genève, l'ancienne loi genevoise du 16 juillet 1881 concernant le contrôle de la population a ainsi été abrogée par l'entrée en vigueur, le 3 novembre 2009, de la loi genevoise du 3 avril 2009 d'application de la loi fédérale sur l'harmonisation des registres des habitants et d'autres registres officiels de personnes (LaLHR/GE; RSGE F 2 25; cf. art. 13 LaLHR/GE).</w:t>
      </w:r>
    </w:p>
    <w:p>
      <w:r>
        <w:rPr>
          <w:b/>
        </w:rPr>
        <w:t>E. 4.2</w:t>
      </w:r>
    </w:p>
    <w:p>
      <w:r>
        <w:t>La LHR définit à présent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(art. 3 let. b phr. 1 LHR).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 art. 3 let . c LHR).</w:t>
      </w:r>
    </w:p>
    <w:p>
      <w:r>
        <w:t>Selon la jurisprudence, l'établissement et le séjour, le domicile civil et les domiciles spéciaux sont déterminés par des autorités différentes dans des procédures distinctes (cf. arrêts 2C_791/2011 du 4 avril 2012 consid. 1.3; 2C_478/2008 du 23 septembre 2008 consid. 3.5). La plupart du temps, c'est le domicile civil qui sert de point de référence aux autres domaines du droit. Le message du Conseil fédéral du 23 novembre 2005 concernant l'harmonisation de registres officiels de personnes précise ainsi expressément que l' art. 3 let. b LHR donne de l'établissement une définition qui s'appuie notamment sur la définition du Code civil suisse (cf. FF 2006 439 p. 469).</w:t>
      </w:r>
    </w:p>
    <w:p>
      <w:r>
        <w:t>En droit civil, selon l' art. 23 al. 1 CC ,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Les constatations relatives à ces circonstances relèvent du fait, mais la conclusion que le juge en tire quant à l'intention de s'établir est une question de droit (cf. ATF 136 II 405 consid. 4.3 p. 409 s. et les références citées).</w:t>
      </w:r>
    </w:p>
    <w:p>
      <w:r>
        <w:t>Il découle de la jurisprudence précitée que c'est régulièrement le domicile civil et les domiciles spéciaux qui permettent d'établir si une personne est établie dans une commune donnée au sens de l' art. 3 let. b LHR , et non l'inverse (arrêt 2C_791/2011 du 4 avril 2012 consid. 1.3). Il ne faut cependant pas perdre de vue que le Code civil et la loi sur l'harmonisation des registres poursuivent des buts différents (arrêt 2C_919/2011 du 9 février 2012 consid. 3.2).</w:t>
      </w:r>
    </w:p>
    <w:p>
      <w:r>
        <w:rPr>
          <w:b/>
        </w:rPr>
        <w:t>E. 4.3</w:t>
      </w:r>
    </w:p>
    <w:p>
      <w:r>
        <w:t>En l'espèce, le recourant estime que la Cour de justice a procédé à une mauvaise application de la législation en matière d'annonce de départ et d'arrivée des citoyens. Il est d'avis qu'elle a apprécié faussement les éléments de preuve fournis pour en déduire qu'il n'avait pas valablement annoncé son départ en 2006. Selon le recourant, il bénéficie du droit de faire rectifier un registre erroné pour qu'il corresponde à la réalité, conformément à l' art. 5 LHR .</w:t>
      </w:r>
    </w:p>
    <w:p>
      <w:r>
        <w:t>Pour sa part, la Cour de justice a considéré que les pièces produites permettent certes de constater que le recourant a été amené à voyager et à résider dans différents lieux pour des raisons professionnelles ou personnelles, mais que ces pièces ne permettent pas d'établir à suffisance que le recourant aurait déplacé sa résidence effective hors du canton de Genève durant la période litigieuse. L'autorité précédente a retenu que, malgré les nombreuses demandes effectuées par l'Office cantonal, le recourant n'a pas produit d'attestation des autorités du pays concerné précisant le lieu de sa résidence principale ainsi qu'une attestation fiscale des autorités compétentes précisant son assujettissement pour la période en cause. Le recourant a certes déposé diverses pièces, mais celles-ci, selon l'appréciation de la Cour de justice, ne sont pas pertinentes. De plus, les juges cantonaux ont encore mentionné que les nombreuses pièces figurant déjà au dossier, par exemple un jugement de divorce du 5 novembre 2009 et un extrait de l'état civil du 26 juillet 2012 faisant tous deux état d'un domicile du recourant à Genève, une décision relative à des allocations familiales perçues pour l'année 2009 que le recourant ne conteste pas avoir reçue à son domicile genevois ou un courrier du 15 juillet 2011 rédigé par le mandataire du recourant et indiquant que celui-ci vivait à son adresse genevoise, permettent de conclure que le recourant était effectivement domicilié dans le canton de Genève durant la période litigieuse. Rien ne fait état d'une contestation de cette domiciliation dans ces documents. La Cour de justice a surtout mentionné que le recourant a sollicité à plusieurs reprises durant les années litigieuses des attestations auprès de l'Office cantonal, lesquelles indiquent toutes qu'il résidait à Genève depuis le 26 octobre 2006. Or, celui-ci n'a pas entamé de démarches pour faire modifier cette inscription avant le mois de janvier 2015.</w:t>
      </w:r>
    </w:p>
    <w:p>
      <w:r>
        <w:rPr>
          <w:b/>
        </w:rPr>
        <w:t>E. 4.4</w:t>
      </w:r>
    </w:p>
    <w:p>
      <w:r>
        <w:t>Sous couvert de violation des art. 5 et 11 LHR , respectivement 23 CC, le recourant conteste en réalité l'appréciation des moyens de preuve effectuée par l'autorité précédente. Il méconnaît toutefois que le Tribunal ne revoit l'établissement des faits et l'appréciation des preuves que sous l'angle restreint de l'arbitraire (cf. consid. 2 ci-dessus). Or, le recourant ne fait à aucun moment valoir une appréciation arbitraire des preuves par la Cour de justice. Il substitue bien plus, de manière purement appellatoire, ses vision et appréciation des faits à celles de l'autorité précédente. Au demeurant, quand bien même il aurait invoqué l'arbitraire et motivé son recours conformément au principe de l'invocation de l' art. 106 al. 2 LTF , force serait malgré tout de constater que l'appréciation effectuée par la Cour de justice, dont les éléments principaux ont été repris ci-dessus (consid. 4.3), est pleinement soutenable et ne saurait être considérée comme arbitraire.</w:t>
      </w:r>
    </w:p>
    <w:p>
      <w:r>
        <w:t>En conséquence, il faut admettre que le recourant n'a pas fourni des indices suffisants pour démontrer que son domicile ne se trouvait pas dans le canton de Genève entre le 26 octobre 2006 et le 9 avril 2013. C'est donc sans violer la LHR, et en particulier l' art. 3 let. b LHR , que l'autorité précédente a confirmé le refus de modifier le registre des habitants dans le sens voulu par le recourant. Pour le surplus, dans la mesure où le recourant désirait invoquer la violation de dispositions de droit cantonal (que ce soit la LaLHR/GE, l'ancienne loi genevoise du 16 juillet 1881 concernant le contrôle de la population ou toute autre loi cantonale), force est de constater que sa motivation ne remplit pas les conditions posées par l' art. 106 al. 2 LTF (cf. ATF 134 III 379 consid. 1.2 p. 382 s.).</w:t>
      </w:r>
    </w:p>
    <w:p>
      <w:r>
        <w:rPr>
          <w:b/>
        </w:rPr>
        <w:t>E. 5</w:t>
      </w:r>
    </w:p>
    <w:p>
      <w:r>
        <w:t>Sur le vu de ce qui précède, le recours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