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2C_336/2019 vom 11. April 2019</w:t>
      </w:r>
    </w:p>
    <w:p>
      <w:r>
        <w:t>Bundesgericht, 2019-04-11, FR</w:t>
      </w:r>
    </w:p>
    <w:p>
      <w:r>
        <w:rPr>
          <w:b/>
        </w:rPr>
        <w:t xml:space="preserve">Quelle: </w:t>
      </w:r>
      <w:r>
        <w:t>https://mcp.opencaselaw.ch/entscheid/bger_2C_336_2019</w:t>
      </w:r>
    </w:p>
    <w:p>
      <w:r>
        <w:t>FR: TF 2C_336/2019 du 11 avril 2019</w:t>
      </w:r>
    </w:p>
    <w:p>
      <w:r>
        <w:t>IT: TF 2C_336/2019 del 11 aprile 2019</w:t>
      </w:r>
    </w:p>
    <w:p>
      <w:pPr>
        <w:pStyle w:val="Heading2"/>
      </w:pPr>
      <w:r>
        <w:t>Erwägungen</w:t>
      </w:r>
    </w:p>
    <w:p>
      <w:r>
        <w:rPr>
          <w:b/>
        </w:rPr>
        <w:t>E. 1</w:t>
      </w:r>
    </w:p>
    <w:p>
      <w:r>
        <w:t>Par arrêt du 11 février 2019, le Tribunal administratif fédéral a rejeté le recours que X.________ avait déposé contre la décision rendue le 30 novembre 2016 par le Secrétariat d'Etat aux migrations refusant d'approuver la prolongation de l'autorisation de séjour.</w:t>
      </w:r>
    </w:p>
    <w:p>
      <w:r>
        <w:rPr>
          <w:b/>
        </w:rPr>
        <w:t>E. 2</w:t>
      </w:r>
    </w:p>
    <w:p>
      <w:r>
        <w:t>Par mémoire du 18 mars 2019, l'intéressée a interjeté recours auprès du Tribunal fédéral contre l'arrêt rendu le 11 février 2019 par le Tribunal administratif fédéral. Elle demande l'effet suspensif.</w:t>
      </w:r>
    </w:p>
    <w:p>
      <w:r>
        <w:t>Par ordonnance du 22 mars 2019, la Chancellerie de la IIe Cour de droit public a constaté le défaut de production de l'arrêt rendu le 11 février 2019 par le Tribunal administratif fédéral et imparti à l'intéressée un délai échéant au 1er avril 2019 pour le produire, précisant qu'à défaut de production de l'arrêt attaqué, le mémoire ne sera pas pris en considération. Cette ordonnance a été envoyée à l'intéressée par pli recommandé. La notification a eu lieu le 25 mars 2019. Le délai de garde est échu le 1er avril 2019. Le courrier a été retiré le 3 avril 2019.</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mémoire adressé au Tribunal fédéral se borne à exposer la jurisprudence sans exposer de manière suffisante eu égard aux exigences de l' art. 42 al. 2 LTF en quoi l'arrêt du 11 février 2019, qui examine longuement en détail les conditions relative aux liens économiques et au comportement irréprochable, viole le droit.</w:t>
      </w:r>
    </w:p>
    <w:p>
      <w:r>
        <w:t>Il n'est par conséquent pas nécessaire d'examiner les conséquences de la production de l'arrêt attaqué le 3 avril 2019 seulement.</w:t>
      </w:r>
    </w:p>
    <w:p>
      <w:r>
        <w:rPr>
          <w:b/>
        </w:rPr>
        <w:t>E. 4</w:t>
      </w:r>
    </w:p>
    <w:p>
      <w:r>
        <w:t>Le recours est ainsi manifestement irrecevable ( art. 108 al. 1 let. b LTF ) et doit être traité selon la procédure simplifiée de l' art. 108 LTF , sans qu'il y ait lieu d'ordonner un échange d'écritures. La demande d'effet suspensif est devenue sans 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