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336/2007 vom 7. August 2007</w:t>
      </w:r>
    </w:p>
    <w:p>
      <w:r>
        <w:t>Bundesgericht, 2007-08-07, FR</w:t>
      </w:r>
    </w:p>
    <w:p>
      <w:r>
        <w:rPr>
          <w:b/>
        </w:rPr>
        <w:t xml:space="preserve">Quelle: </w:t>
      </w:r>
      <w:r>
        <w:t>https://mcp.opencaselaw.ch/entscheid/bger_2C_336_2007</w:t>
      </w:r>
    </w:p>
    <w:p>
      <w:r>
        <w:t>FR: TF 2C 336/2007 du 7 août 2007</w:t>
      </w:r>
    </w:p>
    <w:p>
      <w:r>
        <w:t>IT: TF 2C 336/2007 del 7 agosto 2007</w:t>
      </w:r>
    </w:p>
    <w:p>
      <w:pPr>
        <w:pStyle w:val="Heading2"/>
      </w:pPr>
      <w:r>
        <w:t>Regeste</w:t>
      </w:r>
    </w:p>
    <w:p>
      <w:r>
        <w:t>exception aux mesures de limitation, demande de réexamen (effet suspensif)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X.________,</w:t>
      </w:r>
    </w:p>
    <w:p>
      <w:r>
        <w:rPr>
          <w:b/>
        </w:rPr>
        <w:t>E. 2</w:t>
      </w:r>
    </w:p>
    <w:p>
      <w:r>
        <w:t>Y.________,</w:t>
      </w:r>
    </w:p>
    <w:p>
      <w:r>
        <w:rPr>
          <w:b/>
        </w:rPr>
        <w:t>E. 3</w:t>
      </w:r>
    </w:p>
    <w:p>
      <w:r>
        <w:t>Le présent arrêt est communiqué en copie au mandataire des recourants, à l'Office fédéral des migrations et à la IIIe Cour du Tribunal administratif fédéral. Lausanne, le 7 août 2007 Au nom de la IIe Cour de droit public du Tribunal fédéral suisse 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